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text" w:tblpX="540"/>
        <w:tblW w:w="9990" w:type="dxa"/>
        <w:tblCellMar>
          <w:left w:w="0" w:type="dxa"/>
          <w:right w:w="0" w:type="dxa"/>
        </w:tblCellMar>
        <w:tblLook w:val="04A0" w:firstRow="1" w:lastRow="0" w:firstColumn="1" w:lastColumn="0" w:noHBand="0" w:noVBand="1"/>
      </w:tblPr>
      <w:tblGrid>
        <w:gridCol w:w="1980"/>
        <w:gridCol w:w="2970"/>
        <w:gridCol w:w="3330"/>
        <w:gridCol w:w="1710"/>
      </w:tblGrid>
      <w:tr w:rsidR="00AE621D" w14:paraId="119C113F" w14:textId="77777777" w:rsidTr="00136351">
        <w:trPr>
          <w:trHeight w:val="606"/>
        </w:trPr>
        <w:tc>
          <w:tcPr>
            <w:tcW w:w="9990" w:type="dxa"/>
            <w:gridSpan w:val="4"/>
            <w:tcBorders>
              <w:top w:val="nil"/>
              <w:left w:val="nil"/>
              <w:bottom w:val="double" w:sz="4" w:space="0" w:color="auto"/>
              <w:right w:val="nil"/>
            </w:tcBorders>
            <w:tcMar>
              <w:top w:w="87" w:type="dxa"/>
              <w:left w:w="108" w:type="dxa"/>
              <w:bottom w:w="0" w:type="dxa"/>
              <w:right w:w="115" w:type="dxa"/>
            </w:tcMar>
            <w:hideMark/>
          </w:tcPr>
          <w:p w14:paraId="6F54570A" w14:textId="77777777" w:rsidR="00AE621D" w:rsidRDefault="00AE621D" w:rsidP="00136351">
            <w:pPr>
              <w:spacing w:line="252" w:lineRule="auto"/>
              <w:rPr>
                <w:rFonts w:eastAsiaTheme="minorHAnsi"/>
                <w:b/>
                <w:bCs/>
                <w:color w:val="000000"/>
                <w:sz w:val="32"/>
                <w:szCs w:val="32"/>
              </w:rPr>
            </w:pPr>
            <w:bookmarkStart w:id="0" w:name="_Hlk139455862"/>
            <w:r>
              <w:rPr>
                <w:noProof/>
              </w:rPr>
              <w:drawing>
                <wp:inline distT="0" distB="0" distL="0" distR="0" wp14:anchorId="36EB2A1E" wp14:editId="76BB9809">
                  <wp:extent cx="1945640" cy="977900"/>
                  <wp:effectExtent l="0" t="0" r="0" b="0"/>
                  <wp:docPr id="5" name="Picture 5"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lleg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45640" cy="977900"/>
                          </a:xfrm>
                          <a:prstGeom prst="rect">
                            <a:avLst/>
                          </a:prstGeom>
                          <a:noFill/>
                          <a:ln>
                            <a:noFill/>
                          </a:ln>
                        </pic:spPr>
                      </pic:pic>
                    </a:graphicData>
                  </a:graphic>
                </wp:inline>
              </w:drawing>
            </w:r>
          </w:p>
        </w:tc>
      </w:tr>
      <w:tr w:rsidR="00AE621D" w14:paraId="11B141B8" w14:textId="77777777" w:rsidTr="00136351">
        <w:trPr>
          <w:trHeight w:val="606"/>
        </w:trPr>
        <w:tc>
          <w:tcPr>
            <w:tcW w:w="1980" w:type="dxa"/>
            <w:tcBorders>
              <w:top w:val="nil"/>
              <w:left w:val="double" w:sz="4" w:space="0" w:color="1F497D"/>
              <w:bottom w:val="double" w:sz="4" w:space="0" w:color="1F497D"/>
              <w:right w:val="double" w:sz="4" w:space="0" w:color="1F497D"/>
            </w:tcBorders>
            <w:shd w:val="clear" w:color="auto" w:fill="E9EBC7"/>
            <w:tcMar>
              <w:top w:w="87" w:type="dxa"/>
              <w:left w:w="108" w:type="dxa"/>
              <w:bottom w:w="0" w:type="dxa"/>
              <w:right w:w="115" w:type="dxa"/>
            </w:tcMar>
            <w:hideMark/>
          </w:tcPr>
          <w:p w14:paraId="2B4E660B" w14:textId="77777777" w:rsidR="00AE621D" w:rsidRDefault="00AE621D" w:rsidP="00136351">
            <w:pPr>
              <w:spacing w:after="21" w:line="252" w:lineRule="auto"/>
              <w:rPr>
                <w:color w:val="000000"/>
                <w:sz w:val="24"/>
                <w:szCs w:val="24"/>
              </w:rPr>
            </w:pPr>
            <w:r>
              <w:rPr>
                <w:color w:val="000000"/>
              </w:rPr>
              <w:t>Policy Name</w:t>
            </w:r>
          </w:p>
        </w:tc>
        <w:tc>
          <w:tcPr>
            <w:tcW w:w="8010" w:type="dxa"/>
            <w:gridSpan w:val="3"/>
            <w:tcBorders>
              <w:top w:val="nil"/>
              <w:left w:val="nil"/>
              <w:bottom w:val="double" w:sz="4" w:space="0" w:color="1F497D"/>
              <w:right w:val="double" w:sz="4" w:space="0" w:color="1F497D"/>
            </w:tcBorders>
            <w:tcMar>
              <w:top w:w="87" w:type="dxa"/>
              <w:left w:w="108" w:type="dxa"/>
              <w:bottom w:w="0" w:type="dxa"/>
              <w:right w:w="115" w:type="dxa"/>
            </w:tcMar>
            <w:hideMark/>
          </w:tcPr>
          <w:p w14:paraId="79AD8AC3" w14:textId="7B10F30B" w:rsidR="00AE621D" w:rsidRDefault="00D26FDF" w:rsidP="00136351">
            <w:pPr>
              <w:spacing w:line="252" w:lineRule="auto"/>
              <w:rPr>
                <w:b/>
                <w:bCs/>
                <w:color w:val="000000"/>
                <w:sz w:val="32"/>
                <w:szCs w:val="32"/>
              </w:rPr>
            </w:pPr>
            <w:r>
              <w:rPr>
                <w:b/>
                <w:bCs/>
                <w:color w:val="000000"/>
                <w:sz w:val="32"/>
                <w:szCs w:val="32"/>
              </w:rPr>
              <w:t>Enterprise Risk Management</w:t>
            </w:r>
            <w:r w:rsidR="00AE621D">
              <w:rPr>
                <w:b/>
                <w:bCs/>
                <w:color w:val="000000"/>
                <w:sz w:val="32"/>
                <w:szCs w:val="32"/>
              </w:rPr>
              <w:t xml:space="preserve"> </w:t>
            </w:r>
          </w:p>
        </w:tc>
      </w:tr>
      <w:tr w:rsidR="00AE621D" w14:paraId="197FD32F" w14:textId="77777777" w:rsidTr="00136351">
        <w:trPr>
          <w:trHeight w:val="375"/>
        </w:trPr>
        <w:tc>
          <w:tcPr>
            <w:tcW w:w="1980" w:type="dxa"/>
            <w:tcBorders>
              <w:top w:val="nil"/>
              <w:left w:val="double" w:sz="4" w:space="0" w:color="1F497D"/>
              <w:bottom w:val="double" w:sz="4" w:space="0" w:color="1F497D"/>
              <w:right w:val="double" w:sz="4" w:space="0" w:color="1F497D"/>
            </w:tcBorders>
            <w:shd w:val="clear" w:color="auto" w:fill="E9EBC7"/>
            <w:tcMar>
              <w:top w:w="87" w:type="dxa"/>
              <w:left w:w="108" w:type="dxa"/>
              <w:bottom w:w="0" w:type="dxa"/>
              <w:right w:w="115" w:type="dxa"/>
            </w:tcMar>
            <w:hideMark/>
          </w:tcPr>
          <w:p w14:paraId="5832F274" w14:textId="77777777" w:rsidR="00AE621D" w:rsidRDefault="00AE621D" w:rsidP="00136351">
            <w:pPr>
              <w:spacing w:line="252" w:lineRule="auto"/>
              <w:rPr>
                <w:color w:val="000000"/>
                <w:sz w:val="24"/>
                <w:szCs w:val="24"/>
              </w:rPr>
            </w:pPr>
            <w:r>
              <w:rPr>
                <w:color w:val="000000"/>
              </w:rPr>
              <w:t>Policy #</w:t>
            </w:r>
          </w:p>
        </w:tc>
        <w:tc>
          <w:tcPr>
            <w:tcW w:w="2970" w:type="dxa"/>
            <w:tcBorders>
              <w:top w:val="nil"/>
              <w:left w:val="nil"/>
              <w:bottom w:val="double" w:sz="4" w:space="0" w:color="1F497D"/>
              <w:right w:val="double" w:sz="4" w:space="0" w:color="1F497D"/>
            </w:tcBorders>
            <w:tcMar>
              <w:top w:w="87" w:type="dxa"/>
              <w:left w:w="108" w:type="dxa"/>
              <w:bottom w:w="0" w:type="dxa"/>
              <w:right w:w="115" w:type="dxa"/>
            </w:tcMar>
            <w:hideMark/>
          </w:tcPr>
          <w:p w14:paraId="358C3857" w14:textId="60AFEC74" w:rsidR="00AE621D" w:rsidRDefault="005A7065" w:rsidP="00136351">
            <w:pPr>
              <w:rPr>
                <w:color w:val="000000"/>
              </w:rPr>
            </w:pPr>
            <w:r>
              <w:rPr>
                <w:color w:val="000000"/>
              </w:rPr>
              <w:t>5</w:t>
            </w:r>
            <w:r w:rsidR="00B25ACF">
              <w:rPr>
                <w:color w:val="000000"/>
              </w:rPr>
              <w:t>17</w:t>
            </w:r>
          </w:p>
        </w:tc>
        <w:tc>
          <w:tcPr>
            <w:tcW w:w="3330" w:type="dxa"/>
            <w:tcBorders>
              <w:top w:val="nil"/>
              <w:left w:val="nil"/>
              <w:bottom w:val="double" w:sz="4" w:space="0" w:color="1F497D"/>
              <w:right w:val="double" w:sz="4" w:space="0" w:color="1F497D"/>
            </w:tcBorders>
            <w:shd w:val="clear" w:color="auto" w:fill="E9EBC7"/>
            <w:tcMar>
              <w:top w:w="87" w:type="dxa"/>
              <w:left w:w="108" w:type="dxa"/>
              <w:bottom w:w="0" w:type="dxa"/>
              <w:right w:w="115" w:type="dxa"/>
            </w:tcMar>
            <w:hideMark/>
          </w:tcPr>
          <w:p w14:paraId="5F5A202B" w14:textId="77777777" w:rsidR="00AE621D" w:rsidRDefault="00AE621D" w:rsidP="00136351">
            <w:pPr>
              <w:spacing w:line="252" w:lineRule="auto"/>
              <w:rPr>
                <w:caps/>
                <w:color w:val="000000"/>
                <w:sz w:val="24"/>
                <w:szCs w:val="24"/>
              </w:rPr>
            </w:pPr>
            <w:r>
              <w:rPr>
                <w:color w:val="000000"/>
              </w:rPr>
              <w:t xml:space="preserve">Category </w:t>
            </w:r>
          </w:p>
        </w:tc>
        <w:tc>
          <w:tcPr>
            <w:tcW w:w="1710" w:type="dxa"/>
            <w:tcBorders>
              <w:top w:val="nil"/>
              <w:left w:val="nil"/>
              <w:bottom w:val="double" w:sz="4" w:space="0" w:color="1F497D"/>
              <w:right w:val="double" w:sz="4" w:space="0" w:color="1F497D"/>
            </w:tcBorders>
            <w:tcMar>
              <w:top w:w="87" w:type="dxa"/>
              <w:left w:w="108" w:type="dxa"/>
              <w:bottom w:w="0" w:type="dxa"/>
              <w:right w:w="115" w:type="dxa"/>
            </w:tcMar>
            <w:hideMark/>
          </w:tcPr>
          <w:p w14:paraId="1F91052A" w14:textId="77777777" w:rsidR="00AE621D" w:rsidRDefault="00AE621D" w:rsidP="00136351">
            <w:pPr>
              <w:spacing w:line="252" w:lineRule="auto"/>
              <w:rPr>
                <w:caps/>
                <w:color w:val="000000"/>
              </w:rPr>
            </w:pPr>
            <w:r>
              <w:rPr>
                <w:caps/>
                <w:color w:val="000000"/>
              </w:rPr>
              <w:t xml:space="preserve">GOVERNANCE </w:t>
            </w:r>
          </w:p>
        </w:tc>
      </w:tr>
      <w:tr w:rsidR="00AE621D" w14:paraId="45655BBF" w14:textId="77777777" w:rsidTr="00136351">
        <w:trPr>
          <w:trHeight w:val="330"/>
        </w:trPr>
        <w:tc>
          <w:tcPr>
            <w:tcW w:w="1980" w:type="dxa"/>
            <w:tcBorders>
              <w:top w:val="nil"/>
              <w:left w:val="double" w:sz="4" w:space="0" w:color="1F497D"/>
              <w:bottom w:val="double" w:sz="4" w:space="0" w:color="1F497D"/>
              <w:right w:val="double" w:sz="4" w:space="0" w:color="1F497D"/>
            </w:tcBorders>
            <w:shd w:val="clear" w:color="auto" w:fill="E9EBC7"/>
            <w:tcMar>
              <w:top w:w="87" w:type="dxa"/>
              <w:left w:w="108" w:type="dxa"/>
              <w:bottom w:w="0" w:type="dxa"/>
              <w:right w:w="115" w:type="dxa"/>
            </w:tcMar>
            <w:hideMark/>
          </w:tcPr>
          <w:p w14:paraId="57D56B05" w14:textId="77777777" w:rsidR="00AE621D" w:rsidRDefault="00AE621D" w:rsidP="00136351">
            <w:pPr>
              <w:spacing w:line="252" w:lineRule="auto"/>
              <w:rPr>
                <w:smallCaps/>
                <w:color w:val="000000"/>
              </w:rPr>
            </w:pPr>
            <w:r>
              <w:rPr>
                <w:color w:val="000000"/>
              </w:rPr>
              <w:t>Steward</w:t>
            </w:r>
          </w:p>
        </w:tc>
        <w:tc>
          <w:tcPr>
            <w:tcW w:w="2970" w:type="dxa"/>
            <w:tcBorders>
              <w:top w:val="nil"/>
              <w:left w:val="nil"/>
              <w:bottom w:val="double" w:sz="4" w:space="0" w:color="1F497D"/>
              <w:right w:val="double" w:sz="4" w:space="0" w:color="1F497D"/>
            </w:tcBorders>
            <w:tcMar>
              <w:top w:w="87" w:type="dxa"/>
              <w:left w:w="108" w:type="dxa"/>
              <w:bottom w:w="0" w:type="dxa"/>
              <w:right w:w="115" w:type="dxa"/>
            </w:tcMar>
            <w:hideMark/>
          </w:tcPr>
          <w:p w14:paraId="31777A74" w14:textId="77777777" w:rsidR="00AE621D" w:rsidRDefault="00AE621D" w:rsidP="00136351">
            <w:pPr>
              <w:spacing w:line="252" w:lineRule="auto"/>
              <w:rPr>
                <w:color w:val="000000"/>
              </w:rPr>
            </w:pPr>
            <w:r>
              <w:rPr>
                <w:color w:val="000000"/>
              </w:rPr>
              <w:t>Board of Governors</w:t>
            </w:r>
          </w:p>
        </w:tc>
        <w:tc>
          <w:tcPr>
            <w:tcW w:w="3330" w:type="dxa"/>
            <w:tcBorders>
              <w:top w:val="nil"/>
              <w:left w:val="nil"/>
              <w:bottom w:val="double" w:sz="4" w:space="0" w:color="1F497D"/>
              <w:right w:val="double" w:sz="4" w:space="0" w:color="1F497D"/>
            </w:tcBorders>
            <w:shd w:val="clear" w:color="auto" w:fill="E9EBC7"/>
            <w:tcMar>
              <w:top w:w="87" w:type="dxa"/>
              <w:left w:w="108" w:type="dxa"/>
              <w:bottom w:w="0" w:type="dxa"/>
              <w:right w:w="115" w:type="dxa"/>
            </w:tcMar>
            <w:hideMark/>
          </w:tcPr>
          <w:p w14:paraId="4FA19399" w14:textId="77777777" w:rsidR="00AE621D" w:rsidRDefault="00AE621D" w:rsidP="00136351">
            <w:pPr>
              <w:spacing w:after="9" w:line="252" w:lineRule="auto"/>
              <w:rPr>
                <w:color w:val="000000"/>
              </w:rPr>
            </w:pPr>
            <w:r>
              <w:rPr>
                <w:color w:val="000000"/>
              </w:rPr>
              <w:t>Date Approved</w:t>
            </w:r>
          </w:p>
        </w:tc>
        <w:tc>
          <w:tcPr>
            <w:tcW w:w="1710" w:type="dxa"/>
            <w:tcBorders>
              <w:top w:val="nil"/>
              <w:left w:val="nil"/>
              <w:bottom w:val="double" w:sz="4" w:space="0" w:color="1F497D"/>
              <w:right w:val="double" w:sz="4" w:space="0" w:color="1F497D"/>
            </w:tcBorders>
            <w:tcMar>
              <w:top w:w="87" w:type="dxa"/>
              <w:left w:w="108" w:type="dxa"/>
              <w:bottom w:w="0" w:type="dxa"/>
              <w:right w:w="115" w:type="dxa"/>
            </w:tcMar>
            <w:hideMark/>
          </w:tcPr>
          <w:p w14:paraId="04A83E29" w14:textId="77777777" w:rsidR="00AE621D" w:rsidRDefault="00AE621D" w:rsidP="00136351">
            <w:pPr>
              <w:spacing w:after="9" w:line="252" w:lineRule="auto"/>
              <w:rPr>
                <w:color w:val="000000"/>
                <w:sz w:val="24"/>
                <w:szCs w:val="24"/>
              </w:rPr>
            </w:pPr>
            <w:r>
              <w:rPr>
                <w:color w:val="000000"/>
                <w:sz w:val="24"/>
                <w:szCs w:val="24"/>
              </w:rPr>
              <w:t xml:space="preserve">July 1, </w:t>
            </w:r>
            <w:proofErr w:type="gramStart"/>
            <w:r>
              <w:rPr>
                <w:color w:val="000000"/>
                <w:sz w:val="24"/>
                <w:szCs w:val="24"/>
              </w:rPr>
              <w:t>2023</w:t>
            </w:r>
            <w:proofErr w:type="gramEnd"/>
            <w:r>
              <w:rPr>
                <w:color w:val="000000"/>
                <w:sz w:val="24"/>
                <w:szCs w:val="24"/>
              </w:rPr>
              <w:t xml:space="preserve"> </w:t>
            </w:r>
          </w:p>
        </w:tc>
      </w:tr>
      <w:tr w:rsidR="00AE621D" w14:paraId="6B18F13A" w14:textId="77777777" w:rsidTr="00136351">
        <w:trPr>
          <w:trHeight w:val="330"/>
        </w:trPr>
        <w:tc>
          <w:tcPr>
            <w:tcW w:w="1980" w:type="dxa"/>
            <w:tcBorders>
              <w:top w:val="nil"/>
              <w:left w:val="double" w:sz="4" w:space="0" w:color="1F497D"/>
              <w:bottom w:val="double" w:sz="4" w:space="0" w:color="auto"/>
              <w:right w:val="double" w:sz="4" w:space="0" w:color="1F497D"/>
            </w:tcBorders>
            <w:shd w:val="clear" w:color="auto" w:fill="E9EBC7"/>
            <w:tcMar>
              <w:top w:w="87" w:type="dxa"/>
              <w:left w:w="108" w:type="dxa"/>
              <w:bottom w:w="0" w:type="dxa"/>
              <w:right w:w="115" w:type="dxa"/>
            </w:tcMar>
            <w:hideMark/>
          </w:tcPr>
          <w:p w14:paraId="5C7D98B5" w14:textId="77777777" w:rsidR="00AE621D" w:rsidRDefault="00AE621D" w:rsidP="00136351">
            <w:pPr>
              <w:spacing w:line="252" w:lineRule="auto"/>
              <w:rPr>
                <w:smallCaps/>
                <w:color w:val="000000"/>
              </w:rPr>
            </w:pPr>
            <w:r>
              <w:rPr>
                <w:color w:val="000000"/>
              </w:rPr>
              <w:t>Next Review Date</w:t>
            </w:r>
          </w:p>
        </w:tc>
        <w:tc>
          <w:tcPr>
            <w:tcW w:w="2970" w:type="dxa"/>
            <w:tcBorders>
              <w:top w:val="nil"/>
              <w:left w:val="nil"/>
              <w:bottom w:val="double" w:sz="4" w:space="0" w:color="1F497D"/>
              <w:right w:val="double" w:sz="4" w:space="0" w:color="1F497D"/>
            </w:tcBorders>
            <w:tcMar>
              <w:top w:w="87" w:type="dxa"/>
              <w:left w:w="108" w:type="dxa"/>
              <w:bottom w:w="0" w:type="dxa"/>
              <w:right w:w="115" w:type="dxa"/>
            </w:tcMar>
          </w:tcPr>
          <w:p w14:paraId="59584E4A" w14:textId="77777777" w:rsidR="00AE621D" w:rsidRDefault="00AE621D" w:rsidP="00136351">
            <w:pPr>
              <w:spacing w:line="252" w:lineRule="auto"/>
              <w:rPr>
                <w:color w:val="000000"/>
              </w:rPr>
            </w:pPr>
          </w:p>
        </w:tc>
        <w:tc>
          <w:tcPr>
            <w:tcW w:w="3330" w:type="dxa"/>
            <w:tcBorders>
              <w:top w:val="nil"/>
              <w:left w:val="nil"/>
              <w:bottom w:val="double" w:sz="4" w:space="0" w:color="1F497D"/>
              <w:right w:val="double" w:sz="4" w:space="0" w:color="1F497D"/>
            </w:tcBorders>
            <w:shd w:val="clear" w:color="auto" w:fill="E9EBC7"/>
            <w:tcMar>
              <w:top w:w="87" w:type="dxa"/>
              <w:left w:w="108" w:type="dxa"/>
              <w:bottom w:w="0" w:type="dxa"/>
              <w:right w:w="115" w:type="dxa"/>
            </w:tcMar>
            <w:hideMark/>
          </w:tcPr>
          <w:p w14:paraId="2BC0545C" w14:textId="77777777" w:rsidR="00AE621D" w:rsidRDefault="00AE621D" w:rsidP="00136351">
            <w:pPr>
              <w:spacing w:after="9" w:line="252" w:lineRule="auto"/>
              <w:rPr>
                <w:color w:val="000000"/>
              </w:rPr>
            </w:pPr>
            <w:r>
              <w:rPr>
                <w:color w:val="000000"/>
              </w:rPr>
              <w:t>Date Reviewed or Revised</w:t>
            </w:r>
          </w:p>
        </w:tc>
        <w:tc>
          <w:tcPr>
            <w:tcW w:w="1710" w:type="dxa"/>
            <w:tcBorders>
              <w:top w:val="nil"/>
              <w:left w:val="nil"/>
              <w:bottom w:val="double" w:sz="4" w:space="0" w:color="1F497D"/>
              <w:right w:val="double" w:sz="4" w:space="0" w:color="1F497D"/>
            </w:tcBorders>
            <w:tcMar>
              <w:top w:w="87" w:type="dxa"/>
              <w:left w:w="108" w:type="dxa"/>
              <w:bottom w:w="0" w:type="dxa"/>
              <w:right w:w="115" w:type="dxa"/>
            </w:tcMar>
          </w:tcPr>
          <w:p w14:paraId="0C712158" w14:textId="6FEF3FB0" w:rsidR="00AE621D" w:rsidRDefault="00A7411C" w:rsidP="00136351">
            <w:pPr>
              <w:spacing w:after="9" w:line="252" w:lineRule="auto"/>
              <w:rPr>
                <w:color w:val="000000"/>
                <w:sz w:val="24"/>
                <w:szCs w:val="24"/>
              </w:rPr>
            </w:pPr>
            <w:r>
              <w:rPr>
                <w:color w:val="000000"/>
                <w:sz w:val="24"/>
                <w:szCs w:val="24"/>
              </w:rPr>
              <w:t>Nov</w:t>
            </w:r>
            <w:r w:rsidR="0092319A">
              <w:rPr>
                <w:color w:val="000000"/>
                <w:sz w:val="24"/>
                <w:szCs w:val="24"/>
              </w:rPr>
              <w:t xml:space="preserve"> 28, 2024</w:t>
            </w:r>
          </w:p>
        </w:tc>
        <w:bookmarkEnd w:id="0"/>
      </w:tr>
    </w:tbl>
    <w:p w14:paraId="50442D42" w14:textId="2C65C79E" w:rsidR="006A4EB6" w:rsidRDefault="006A4EB6">
      <w:pPr>
        <w:pStyle w:val="BodyText"/>
        <w:spacing w:before="3" w:after="1"/>
        <w:rPr>
          <w:rFonts w:ascii="Times New Roman"/>
          <w:sz w:val="21"/>
        </w:rPr>
      </w:pPr>
    </w:p>
    <w:p w14:paraId="569E1252" w14:textId="2395926C" w:rsidR="006A4EB6" w:rsidRDefault="006A4EB6">
      <w:pPr>
        <w:pStyle w:val="BodyText"/>
        <w:spacing w:before="7"/>
        <w:rPr>
          <w:rFonts w:ascii="Times New Roman"/>
        </w:rPr>
      </w:pPr>
    </w:p>
    <w:p w14:paraId="5A8B1059" w14:textId="23FF0D83" w:rsidR="00F71E40" w:rsidRDefault="00F71E40">
      <w:pPr>
        <w:pStyle w:val="BodyText"/>
        <w:spacing w:before="7"/>
        <w:rPr>
          <w:rFonts w:ascii="Times New Roman"/>
        </w:rPr>
      </w:pPr>
    </w:p>
    <w:p w14:paraId="0AB612A4" w14:textId="010E27ED" w:rsidR="00F71E40" w:rsidRDefault="00F71E40">
      <w:pPr>
        <w:pStyle w:val="BodyText"/>
        <w:spacing w:before="7"/>
        <w:rPr>
          <w:rFonts w:ascii="Times New Roman"/>
        </w:rPr>
      </w:pPr>
    </w:p>
    <w:p w14:paraId="171E6B1E" w14:textId="05002456" w:rsidR="00C83CFC" w:rsidRDefault="00C83CFC">
      <w:pPr>
        <w:pStyle w:val="BodyText"/>
        <w:spacing w:before="7"/>
        <w:rPr>
          <w:rFonts w:ascii="Times New Roman"/>
        </w:rPr>
      </w:pPr>
    </w:p>
    <w:p w14:paraId="717EAC54" w14:textId="23A5F3BD" w:rsidR="00C83CFC" w:rsidRDefault="00C83CFC">
      <w:pPr>
        <w:pStyle w:val="BodyText"/>
        <w:spacing w:before="7"/>
        <w:rPr>
          <w:rFonts w:ascii="Times New Roman"/>
        </w:rPr>
      </w:pPr>
    </w:p>
    <w:p w14:paraId="30845408" w14:textId="5F987D7D" w:rsidR="00C83CFC" w:rsidRDefault="00C83CFC">
      <w:pPr>
        <w:pStyle w:val="BodyText"/>
        <w:spacing w:before="7"/>
        <w:rPr>
          <w:rFonts w:ascii="Times New Roman"/>
        </w:rPr>
      </w:pPr>
    </w:p>
    <w:p w14:paraId="7813024B" w14:textId="0C4BE7F1" w:rsidR="00C83CFC" w:rsidRDefault="00C83CFC">
      <w:pPr>
        <w:pStyle w:val="BodyText"/>
        <w:spacing w:before="7"/>
        <w:rPr>
          <w:rFonts w:ascii="Times New Roman"/>
        </w:rPr>
      </w:pPr>
    </w:p>
    <w:p w14:paraId="570DC338" w14:textId="46071DCD" w:rsidR="00C83CFC" w:rsidRDefault="00C83CFC">
      <w:pPr>
        <w:pStyle w:val="BodyText"/>
        <w:spacing w:before="7"/>
        <w:rPr>
          <w:rFonts w:ascii="Times New Roman"/>
        </w:rPr>
      </w:pPr>
    </w:p>
    <w:p w14:paraId="1A0F0EE0" w14:textId="4EBA7334" w:rsidR="00C83CFC" w:rsidRDefault="00C83CFC">
      <w:pPr>
        <w:pStyle w:val="BodyText"/>
        <w:spacing w:before="7"/>
        <w:rPr>
          <w:rFonts w:ascii="Times New Roman"/>
        </w:rPr>
      </w:pPr>
    </w:p>
    <w:p w14:paraId="61E264D6" w14:textId="45434281" w:rsidR="00C83CFC" w:rsidRDefault="00C83CFC">
      <w:pPr>
        <w:pStyle w:val="BodyText"/>
        <w:spacing w:before="7"/>
        <w:rPr>
          <w:rFonts w:ascii="Times New Roman"/>
        </w:rPr>
      </w:pPr>
    </w:p>
    <w:p w14:paraId="405B23C2" w14:textId="6EBCB792" w:rsidR="00C83CFC" w:rsidRDefault="00C83CFC">
      <w:pPr>
        <w:pStyle w:val="BodyText"/>
        <w:spacing w:before="7"/>
        <w:rPr>
          <w:rFonts w:ascii="Times New Roman"/>
        </w:rPr>
      </w:pPr>
    </w:p>
    <w:p w14:paraId="58DB5559" w14:textId="7166142A" w:rsidR="00793555" w:rsidRDefault="00793555">
      <w:pPr>
        <w:pStyle w:val="BodyText"/>
        <w:spacing w:before="7"/>
        <w:rPr>
          <w:rFonts w:ascii="Times New Roman"/>
        </w:rPr>
      </w:pPr>
    </w:p>
    <w:p w14:paraId="7420917B" w14:textId="207A1033" w:rsidR="00793555" w:rsidRDefault="00793555">
      <w:pPr>
        <w:pStyle w:val="BodyText"/>
        <w:spacing w:before="7"/>
        <w:rPr>
          <w:rFonts w:ascii="Times New Roman"/>
        </w:rPr>
      </w:pPr>
    </w:p>
    <w:p w14:paraId="315274E4" w14:textId="7C36D906" w:rsidR="00B90A4D" w:rsidRDefault="00B90A4D">
      <w:pPr>
        <w:pStyle w:val="BodyText"/>
        <w:spacing w:before="7"/>
        <w:rPr>
          <w:rFonts w:ascii="Times New Roman"/>
        </w:rPr>
      </w:pPr>
    </w:p>
    <w:p w14:paraId="4F43C9FE" w14:textId="77777777" w:rsidR="00D26FDF" w:rsidRDefault="00D26FDF" w:rsidP="00A108CF">
      <w:pPr>
        <w:pStyle w:val="Heading1"/>
        <w:spacing w:before="52"/>
        <w:ind w:left="540"/>
      </w:pPr>
      <w:bookmarkStart w:id="1" w:name="PURPOSE:"/>
      <w:bookmarkEnd w:id="1"/>
      <w:r>
        <w:t>PURPOSE:</w:t>
      </w:r>
    </w:p>
    <w:p w14:paraId="76A8E9CA" w14:textId="77777777" w:rsidR="00D26FDF" w:rsidRDefault="00D26FDF" w:rsidP="00D26FDF">
      <w:pPr>
        <w:pStyle w:val="BodyText"/>
        <w:spacing w:before="12"/>
        <w:rPr>
          <w:b/>
          <w:sz w:val="21"/>
        </w:rPr>
      </w:pPr>
    </w:p>
    <w:p w14:paraId="491DE664" w14:textId="77777777" w:rsidR="00D26FDF" w:rsidRDefault="00D26FDF" w:rsidP="00A108CF">
      <w:pPr>
        <w:pStyle w:val="BodyText"/>
        <w:spacing w:line="268" w:lineRule="exact"/>
        <w:ind w:left="540" w:right="10"/>
      </w:pPr>
      <w:r>
        <w:t>This policy establishes an integrated, enterprise-wide risk management program which ensures risks are managed and opportunities leveraged, within Board approved risk appetite and in accordance with best practices.</w:t>
      </w:r>
    </w:p>
    <w:p w14:paraId="1B1C557C" w14:textId="77777777" w:rsidR="00D26FDF" w:rsidRDefault="00D26FDF" w:rsidP="00D26FDF">
      <w:pPr>
        <w:pStyle w:val="BodyText"/>
        <w:spacing w:before="10"/>
        <w:rPr>
          <w:sz w:val="23"/>
        </w:rPr>
      </w:pPr>
    </w:p>
    <w:p w14:paraId="290830A4" w14:textId="77777777" w:rsidR="00D26FDF" w:rsidRDefault="00D26FDF" w:rsidP="00A108CF">
      <w:pPr>
        <w:pStyle w:val="Heading1"/>
        <w:spacing w:before="52"/>
        <w:ind w:left="540"/>
      </w:pPr>
      <w:bookmarkStart w:id="2" w:name="PRINCIPLES"/>
      <w:bookmarkEnd w:id="2"/>
      <w:r>
        <w:t>PRINCIPLES</w:t>
      </w:r>
    </w:p>
    <w:p w14:paraId="3A3EDF11" w14:textId="77777777" w:rsidR="00D26FDF" w:rsidRDefault="00D26FDF" w:rsidP="00D26FDF">
      <w:pPr>
        <w:pStyle w:val="BodyText"/>
        <w:spacing w:before="5"/>
        <w:rPr>
          <w:b/>
          <w:sz w:val="23"/>
        </w:rPr>
      </w:pPr>
    </w:p>
    <w:p w14:paraId="190060B3" w14:textId="77777777" w:rsidR="00D26FDF" w:rsidRPr="00101FC2" w:rsidRDefault="00D26FDF" w:rsidP="00A108CF">
      <w:pPr>
        <w:pStyle w:val="BodyText"/>
        <w:spacing w:line="268" w:lineRule="exact"/>
        <w:ind w:left="540" w:right="10"/>
      </w:pPr>
      <w:r w:rsidRPr="00101FC2">
        <w:t>For Enterprise Risk Management (ERM) to be successful, the College will implement the following internationally recognized ISO 31000 Risk Management Principles:</w:t>
      </w:r>
    </w:p>
    <w:p w14:paraId="3E8A7E7B" w14:textId="77777777" w:rsidR="00D26FDF" w:rsidRPr="00101FC2" w:rsidRDefault="00D26FDF" w:rsidP="00A108CF">
      <w:pPr>
        <w:pStyle w:val="ListParagraph"/>
        <w:numPr>
          <w:ilvl w:val="0"/>
          <w:numId w:val="4"/>
        </w:numPr>
        <w:tabs>
          <w:tab w:val="left" w:pos="1170"/>
        </w:tabs>
        <w:spacing w:before="9"/>
        <w:ind w:left="1080" w:hanging="567"/>
      </w:pPr>
      <w:r w:rsidRPr="00101FC2">
        <w:t>Risk Management creates</w:t>
      </w:r>
      <w:r w:rsidRPr="00101FC2">
        <w:rPr>
          <w:spacing w:val="-6"/>
        </w:rPr>
        <w:t xml:space="preserve"> </w:t>
      </w:r>
      <w:r w:rsidRPr="00101FC2">
        <w:t>value</w:t>
      </w:r>
    </w:p>
    <w:p w14:paraId="62230B26" w14:textId="77777777" w:rsidR="00D26FDF" w:rsidRPr="00101FC2" w:rsidRDefault="00D26FDF" w:rsidP="00A108CF">
      <w:pPr>
        <w:pStyle w:val="ListParagraph"/>
        <w:numPr>
          <w:ilvl w:val="0"/>
          <w:numId w:val="4"/>
        </w:numPr>
        <w:tabs>
          <w:tab w:val="left" w:pos="1170"/>
        </w:tabs>
        <w:spacing w:before="9"/>
        <w:ind w:left="1080" w:hanging="567"/>
      </w:pPr>
      <w:r w:rsidRPr="00101FC2">
        <w:t>Risk management is an integral part of all organizational processes</w:t>
      </w:r>
    </w:p>
    <w:p w14:paraId="756FA22B" w14:textId="77777777" w:rsidR="00D26FDF" w:rsidRPr="00101FC2" w:rsidRDefault="00D26FDF" w:rsidP="00A108CF">
      <w:pPr>
        <w:pStyle w:val="ListParagraph"/>
        <w:numPr>
          <w:ilvl w:val="0"/>
          <w:numId w:val="4"/>
        </w:numPr>
        <w:tabs>
          <w:tab w:val="left" w:pos="1170"/>
        </w:tabs>
        <w:spacing w:before="9"/>
        <w:ind w:left="1080" w:hanging="567"/>
      </w:pPr>
      <w:r w:rsidRPr="00101FC2">
        <w:t>Risk management is a part of decision making</w:t>
      </w:r>
    </w:p>
    <w:p w14:paraId="56AD4501" w14:textId="77777777" w:rsidR="00D26FDF" w:rsidRPr="00101FC2" w:rsidRDefault="00D26FDF" w:rsidP="00A108CF">
      <w:pPr>
        <w:pStyle w:val="ListParagraph"/>
        <w:numPr>
          <w:ilvl w:val="0"/>
          <w:numId w:val="4"/>
        </w:numPr>
        <w:tabs>
          <w:tab w:val="left" w:pos="1170"/>
        </w:tabs>
        <w:spacing w:before="9"/>
        <w:ind w:left="1080" w:hanging="567"/>
      </w:pPr>
      <w:r w:rsidRPr="00101FC2">
        <w:t>Risk management explicitly addresses uncertainty</w:t>
      </w:r>
    </w:p>
    <w:p w14:paraId="503D1B18" w14:textId="77777777" w:rsidR="00D26FDF" w:rsidRPr="00101FC2" w:rsidRDefault="00D26FDF" w:rsidP="00A108CF">
      <w:pPr>
        <w:pStyle w:val="ListParagraph"/>
        <w:numPr>
          <w:ilvl w:val="0"/>
          <w:numId w:val="4"/>
        </w:numPr>
        <w:tabs>
          <w:tab w:val="left" w:pos="1170"/>
        </w:tabs>
        <w:spacing w:before="9"/>
        <w:ind w:left="1080" w:hanging="567"/>
      </w:pPr>
      <w:r w:rsidRPr="00101FC2">
        <w:t>Risk management is systematic, structured and timely</w:t>
      </w:r>
    </w:p>
    <w:p w14:paraId="5345387E" w14:textId="77777777" w:rsidR="00D26FDF" w:rsidRPr="00101FC2" w:rsidRDefault="00D26FDF" w:rsidP="00A108CF">
      <w:pPr>
        <w:pStyle w:val="ListParagraph"/>
        <w:numPr>
          <w:ilvl w:val="0"/>
          <w:numId w:val="4"/>
        </w:numPr>
        <w:tabs>
          <w:tab w:val="left" w:pos="1170"/>
        </w:tabs>
        <w:spacing w:before="9"/>
        <w:ind w:left="1080" w:hanging="567"/>
      </w:pPr>
      <w:r w:rsidRPr="00101FC2">
        <w:t>Risk management is based on the best available information</w:t>
      </w:r>
    </w:p>
    <w:p w14:paraId="21950C46" w14:textId="77777777" w:rsidR="00D26FDF" w:rsidRPr="00101FC2" w:rsidRDefault="00D26FDF" w:rsidP="00A108CF">
      <w:pPr>
        <w:pStyle w:val="ListParagraph"/>
        <w:numPr>
          <w:ilvl w:val="0"/>
          <w:numId w:val="4"/>
        </w:numPr>
        <w:tabs>
          <w:tab w:val="left" w:pos="1170"/>
        </w:tabs>
        <w:spacing w:before="9"/>
        <w:ind w:left="1080" w:hanging="567"/>
      </w:pPr>
      <w:r w:rsidRPr="00101FC2">
        <w:t>Risk management is tailored</w:t>
      </w:r>
    </w:p>
    <w:p w14:paraId="6E048C61" w14:textId="77777777" w:rsidR="00D26FDF" w:rsidRPr="00101FC2" w:rsidRDefault="00D26FDF" w:rsidP="00A108CF">
      <w:pPr>
        <w:pStyle w:val="ListParagraph"/>
        <w:numPr>
          <w:ilvl w:val="0"/>
          <w:numId w:val="4"/>
        </w:numPr>
        <w:tabs>
          <w:tab w:val="left" w:pos="1170"/>
        </w:tabs>
        <w:spacing w:before="9"/>
        <w:ind w:left="1080" w:hanging="567"/>
      </w:pPr>
      <w:r w:rsidRPr="00101FC2">
        <w:t>Risk management takes human and cultural factors into account</w:t>
      </w:r>
    </w:p>
    <w:p w14:paraId="3F8A52DC" w14:textId="77777777" w:rsidR="00D26FDF" w:rsidRPr="00101FC2" w:rsidRDefault="00D26FDF" w:rsidP="00A108CF">
      <w:pPr>
        <w:pStyle w:val="ListParagraph"/>
        <w:numPr>
          <w:ilvl w:val="0"/>
          <w:numId w:val="4"/>
        </w:numPr>
        <w:tabs>
          <w:tab w:val="left" w:pos="1170"/>
        </w:tabs>
        <w:spacing w:before="9"/>
        <w:ind w:left="1080" w:hanging="567"/>
      </w:pPr>
      <w:r w:rsidRPr="00101FC2">
        <w:t>Risk management is transparent and inclusive</w:t>
      </w:r>
    </w:p>
    <w:p w14:paraId="389991DF" w14:textId="77777777" w:rsidR="00D26FDF" w:rsidRPr="00101FC2" w:rsidRDefault="00D26FDF" w:rsidP="00A108CF">
      <w:pPr>
        <w:pStyle w:val="ListParagraph"/>
        <w:numPr>
          <w:ilvl w:val="0"/>
          <w:numId w:val="4"/>
        </w:numPr>
        <w:tabs>
          <w:tab w:val="left" w:pos="1170"/>
        </w:tabs>
        <w:spacing w:before="9"/>
        <w:ind w:left="1080" w:hanging="567"/>
      </w:pPr>
      <w:r w:rsidRPr="00101FC2">
        <w:t>Risk management is dynamic, iterative and responsive to change</w:t>
      </w:r>
    </w:p>
    <w:p w14:paraId="767DEA94" w14:textId="77777777" w:rsidR="00D26FDF" w:rsidRPr="00101FC2" w:rsidRDefault="00D26FDF" w:rsidP="00A108CF">
      <w:pPr>
        <w:pStyle w:val="ListParagraph"/>
        <w:numPr>
          <w:ilvl w:val="0"/>
          <w:numId w:val="4"/>
        </w:numPr>
        <w:tabs>
          <w:tab w:val="left" w:pos="1170"/>
        </w:tabs>
        <w:spacing w:before="9"/>
        <w:ind w:left="1080" w:hanging="567"/>
      </w:pPr>
      <w:r w:rsidRPr="00101FC2">
        <w:t>Risk management facilitates continual improvement in the</w:t>
      </w:r>
      <w:r w:rsidRPr="00101FC2">
        <w:rPr>
          <w:spacing w:val="-22"/>
        </w:rPr>
        <w:t xml:space="preserve"> </w:t>
      </w:r>
      <w:r w:rsidRPr="00101FC2">
        <w:t>organization</w:t>
      </w:r>
    </w:p>
    <w:p w14:paraId="579D3669" w14:textId="77777777" w:rsidR="00D26FDF" w:rsidRDefault="00D26FDF" w:rsidP="00D26FDF">
      <w:pPr>
        <w:pStyle w:val="BodyText"/>
        <w:rPr>
          <w:sz w:val="30"/>
        </w:rPr>
      </w:pPr>
    </w:p>
    <w:p w14:paraId="453D43B8" w14:textId="77777777" w:rsidR="00D26FDF" w:rsidRDefault="00D26FDF" w:rsidP="00A108CF">
      <w:pPr>
        <w:pStyle w:val="Heading1"/>
        <w:spacing w:before="52"/>
        <w:ind w:left="540"/>
      </w:pPr>
      <w:bookmarkStart w:id="3" w:name="POLICY"/>
      <w:bookmarkEnd w:id="3"/>
      <w:r>
        <w:t>POLICY</w:t>
      </w:r>
    </w:p>
    <w:p w14:paraId="5A5BC10F" w14:textId="77777777" w:rsidR="00D26FDF" w:rsidRDefault="00D26FDF" w:rsidP="00D26FDF">
      <w:pPr>
        <w:pStyle w:val="BodyText"/>
        <w:spacing w:before="5"/>
        <w:rPr>
          <w:b/>
          <w:sz w:val="23"/>
        </w:rPr>
      </w:pPr>
    </w:p>
    <w:p w14:paraId="0D0A46C7" w14:textId="77777777" w:rsidR="00D26FDF" w:rsidRDefault="00D26FDF" w:rsidP="00A108CF">
      <w:pPr>
        <w:pStyle w:val="BodyText"/>
        <w:spacing w:line="268" w:lineRule="exact"/>
        <w:ind w:left="540" w:right="10"/>
      </w:pPr>
      <w:r>
        <w:t>The College has documented an ERM framework, which compliments this policy, to guide management and the Board of Governors in making overall decisions regarding the risk management program and processes. The ERM framework includes education, and recognizes that risk management is a comprehensive, ongoing and cyclical process. The Board of Governors and President and CEO set the tone for enterprise risk management and have a planned approach to improving their ERM maturity and continuously grow a risk aware culture.</w:t>
      </w:r>
    </w:p>
    <w:p w14:paraId="5E49EA1A" w14:textId="77777777" w:rsidR="00D26FDF" w:rsidRPr="00A108CF" w:rsidRDefault="00D26FDF" w:rsidP="00A108CF">
      <w:pPr>
        <w:pStyle w:val="BodyText"/>
        <w:spacing w:line="268" w:lineRule="exact"/>
        <w:ind w:left="540" w:right="10"/>
      </w:pPr>
    </w:p>
    <w:p w14:paraId="54A6CEEC" w14:textId="6A636D90" w:rsidR="00D26FDF" w:rsidRDefault="00D26FDF" w:rsidP="00A108CF">
      <w:pPr>
        <w:pStyle w:val="BodyText"/>
        <w:spacing w:line="268" w:lineRule="exact"/>
        <w:ind w:left="540" w:right="10"/>
      </w:pPr>
      <w:r>
        <w:t xml:space="preserve">Managing risk well ensures that the College is proactive and resilient as we detect and respond to uncertainty. At the core of managing risk is the College’s Statement of Risk Appetite which strives to reduce unexpected </w:t>
      </w:r>
      <w:r>
        <w:lastRenderedPageBreak/>
        <w:t>outcomes and strengthen the trust and confidence of our stakeholders.</w:t>
      </w:r>
    </w:p>
    <w:p w14:paraId="78341F8C" w14:textId="6B9FCFA0" w:rsidR="00D26FDF" w:rsidRDefault="00D26FDF" w:rsidP="00A108CF">
      <w:pPr>
        <w:pStyle w:val="BodyText"/>
        <w:spacing w:line="268" w:lineRule="exact"/>
        <w:ind w:left="540" w:right="10"/>
      </w:pPr>
    </w:p>
    <w:p w14:paraId="5EC905AD" w14:textId="77777777" w:rsidR="00101FC2" w:rsidRDefault="00101FC2" w:rsidP="00101FC2">
      <w:pPr>
        <w:pStyle w:val="BodyText"/>
        <w:spacing w:line="268" w:lineRule="exact"/>
        <w:ind w:left="540" w:right="10"/>
      </w:pPr>
      <w:r>
        <w:t>ERM enhances the College’s ability to achieve its vision and mission and improves the allocation of resources across the College. Risk and opportunities are identified based on the objectives of the College, analyzed and treated within approved risk tolerances and aligns with the risk appetite of the College.</w:t>
      </w:r>
    </w:p>
    <w:p w14:paraId="60EBAC5D" w14:textId="77777777" w:rsidR="00101FC2" w:rsidRPr="00101FC2" w:rsidRDefault="00101FC2" w:rsidP="00101FC2">
      <w:pPr>
        <w:pStyle w:val="BodyText"/>
        <w:spacing w:line="268" w:lineRule="exact"/>
        <w:ind w:left="540" w:right="10"/>
      </w:pPr>
    </w:p>
    <w:p w14:paraId="4C4068EA" w14:textId="77777777" w:rsidR="00101FC2" w:rsidRDefault="00101FC2" w:rsidP="00101FC2">
      <w:pPr>
        <w:pStyle w:val="BodyText"/>
        <w:spacing w:line="268" w:lineRule="exact"/>
        <w:ind w:left="540" w:right="10"/>
      </w:pPr>
      <w:r>
        <w:t>ERM is integrated with business processes such as strategic planning, business planning, capital planning, operational management and new projects/initiatives to ensure consistent consideration of risk in all decision making.</w:t>
      </w:r>
    </w:p>
    <w:p w14:paraId="5E05BFE2" w14:textId="77777777" w:rsidR="00101FC2" w:rsidRPr="00101FC2" w:rsidRDefault="00101FC2" w:rsidP="00101FC2">
      <w:pPr>
        <w:pStyle w:val="BodyText"/>
        <w:spacing w:line="268" w:lineRule="exact"/>
        <w:ind w:left="540" w:right="10"/>
      </w:pPr>
    </w:p>
    <w:p w14:paraId="1D9F2A01" w14:textId="52E51150" w:rsidR="00101FC2" w:rsidRDefault="00101FC2" w:rsidP="00101FC2">
      <w:pPr>
        <w:pStyle w:val="BodyText"/>
        <w:spacing w:line="268" w:lineRule="exact"/>
        <w:ind w:left="540" w:right="10"/>
      </w:pPr>
      <w:r>
        <w:t xml:space="preserve">ERM creates efficiencies and effectiveness by promoting </w:t>
      </w:r>
      <w:r w:rsidR="00A7411C">
        <w:t>teamwork</w:t>
      </w:r>
      <w:r>
        <w:t>, strengthening trust, reducing redundancies and sharing responsibility.</w:t>
      </w:r>
    </w:p>
    <w:p w14:paraId="7E1B273A" w14:textId="77777777" w:rsidR="00101FC2" w:rsidRDefault="00101FC2" w:rsidP="00101FC2">
      <w:pPr>
        <w:pStyle w:val="BodyText"/>
        <w:spacing w:line="268" w:lineRule="exact"/>
        <w:ind w:left="540" w:right="10"/>
      </w:pPr>
    </w:p>
    <w:p w14:paraId="4EE30336" w14:textId="77777777" w:rsidR="00101FC2" w:rsidRDefault="00101FC2" w:rsidP="00196FAA">
      <w:pPr>
        <w:pStyle w:val="Heading1"/>
        <w:spacing w:before="52"/>
        <w:ind w:left="540"/>
      </w:pPr>
      <w:bookmarkStart w:id="4" w:name="PRACTICES"/>
      <w:bookmarkEnd w:id="4"/>
      <w:r>
        <w:t>PRACTICES</w:t>
      </w:r>
    </w:p>
    <w:p w14:paraId="75FF1D6F" w14:textId="77777777" w:rsidR="00101FC2" w:rsidRDefault="00101FC2" w:rsidP="00101FC2">
      <w:pPr>
        <w:pStyle w:val="BodyText"/>
        <w:spacing w:before="7"/>
        <w:rPr>
          <w:b/>
        </w:rPr>
      </w:pPr>
    </w:p>
    <w:p w14:paraId="57191DF7" w14:textId="77777777" w:rsidR="00101FC2" w:rsidRDefault="00101FC2" w:rsidP="00101FC2">
      <w:pPr>
        <w:pStyle w:val="BodyText"/>
        <w:spacing w:line="268" w:lineRule="exact"/>
        <w:ind w:left="540" w:right="10"/>
      </w:pPr>
      <w:r>
        <w:t>ERM is everyone’s responsibility from the Board of Governors to individual employees. Each is expected to understand the risks that fall within the limits of their responsibilities and authorities and is expected to manage these risks within approved risk appetite and tolerances.</w:t>
      </w:r>
    </w:p>
    <w:p w14:paraId="799F6345" w14:textId="77777777" w:rsidR="00101FC2" w:rsidRDefault="00101FC2" w:rsidP="00101FC2">
      <w:pPr>
        <w:pStyle w:val="BodyText"/>
        <w:spacing w:line="268" w:lineRule="exact"/>
        <w:ind w:left="540" w:right="10"/>
      </w:pPr>
    </w:p>
    <w:p w14:paraId="72B04666" w14:textId="77777777" w:rsidR="00101FC2" w:rsidRDefault="00101FC2" w:rsidP="00101FC2">
      <w:pPr>
        <w:pStyle w:val="BodyText"/>
        <w:spacing w:line="268" w:lineRule="exact"/>
        <w:ind w:left="540" w:right="10"/>
      </w:pPr>
      <w:r>
        <w:t>Clearly defined roles, responsibilities and accountabilities are detailed in the ERM framework. The College ensures that those who are accountable are equipped to fulfill that role by providing them with the authority, time, training, resources and skills sufficient to assume their accountabilities.</w:t>
      </w:r>
    </w:p>
    <w:p w14:paraId="6F89AC77" w14:textId="77777777" w:rsidR="00101FC2" w:rsidRDefault="00101FC2" w:rsidP="00101FC2">
      <w:pPr>
        <w:pStyle w:val="BodyText"/>
        <w:spacing w:line="268" w:lineRule="exact"/>
        <w:ind w:left="540" w:right="10"/>
      </w:pPr>
    </w:p>
    <w:p w14:paraId="0FAA4359" w14:textId="77777777" w:rsidR="00101FC2" w:rsidRDefault="00101FC2" w:rsidP="00101FC2">
      <w:pPr>
        <w:pStyle w:val="BodyText"/>
        <w:spacing w:line="268" w:lineRule="exact"/>
        <w:ind w:left="540" w:right="10"/>
      </w:pPr>
      <w:r>
        <w:t>Within the authority delegated from the Board</w:t>
      </w:r>
    </w:p>
    <w:p w14:paraId="11E67963" w14:textId="6D5A502A" w:rsidR="00101FC2" w:rsidRPr="00BB336E" w:rsidRDefault="00BB336E" w:rsidP="00101FC2">
      <w:pPr>
        <w:pStyle w:val="ListParagraph"/>
        <w:numPr>
          <w:ilvl w:val="0"/>
          <w:numId w:val="4"/>
        </w:numPr>
        <w:tabs>
          <w:tab w:val="left" w:pos="3780"/>
        </w:tabs>
        <w:spacing w:before="3" w:line="232" w:lineRule="auto"/>
        <w:ind w:left="1080" w:right="1429" w:hanging="567"/>
      </w:pPr>
      <w:r>
        <w:t xml:space="preserve">Management will </w:t>
      </w:r>
      <w:r w:rsidRPr="00BB336E">
        <w:t>allocate</w:t>
      </w:r>
      <w:r w:rsidR="00101FC2" w:rsidRPr="00BB336E">
        <w:t xml:space="preserve"> the necessary resources available to assist those accountable and responsible for managing</w:t>
      </w:r>
      <w:r w:rsidR="00101FC2" w:rsidRPr="00BB336E">
        <w:rPr>
          <w:spacing w:val="-12"/>
        </w:rPr>
        <w:t xml:space="preserve"> </w:t>
      </w:r>
      <w:r w:rsidR="00101FC2" w:rsidRPr="00BB336E">
        <w:t>risk.</w:t>
      </w:r>
    </w:p>
    <w:p w14:paraId="51CB8C74" w14:textId="019B9F41" w:rsidR="00101FC2" w:rsidRPr="00BB336E" w:rsidRDefault="00101FC2" w:rsidP="00101FC2">
      <w:pPr>
        <w:pStyle w:val="ListParagraph"/>
        <w:numPr>
          <w:ilvl w:val="0"/>
          <w:numId w:val="4"/>
        </w:numPr>
        <w:tabs>
          <w:tab w:val="left" w:pos="3780"/>
          <w:tab w:val="left" w:pos="8010"/>
        </w:tabs>
        <w:spacing w:before="3" w:line="232" w:lineRule="auto"/>
        <w:ind w:left="1080" w:right="10" w:hanging="567"/>
      </w:pPr>
      <w:r w:rsidRPr="00BB336E">
        <w:t>Management is responsible for implementing strategies and policies approved by the Board and for developing processes that identify</w:t>
      </w:r>
      <w:r w:rsidR="00BB336E">
        <w:t>,</w:t>
      </w:r>
      <w:r w:rsidRPr="00BB336E">
        <w:t xml:space="preserve"> measure, monitor and control risks.</w:t>
      </w:r>
    </w:p>
    <w:p w14:paraId="08D80E8B" w14:textId="77777777" w:rsidR="00101FC2" w:rsidRPr="00BB336E" w:rsidRDefault="00101FC2" w:rsidP="00101FC2">
      <w:pPr>
        <w:pStyle w:val="ListParagraph"/>
        <w:numPr>
          <w:ilvl w:val="0"/>
          <w:numId w:val="4"/>
        </w:numPr>
        <w:tabs>
          <w:tab w:val="left" w:pos="3780"/>
          <w:tab w:val="left" w:pos="8010"/>
        </w:tabs>
        <w:spacing w:before="3" w:line="232" w:lineRule="auto"/>
        <w:ind w:left="1080" w:right="10" w:hanging="567"/>
      </w:pPr>
      <w:r w:rsidRPr="00BB336E">
        <w:t>Management and supervisory personnel are responsible for ensuring that the enterprise risk management policy and procedures are communicated to and understood by all employees.</w:t>
      </w:r>
    </w:p>
    <w:p w14:paraId="63B29A26" w14:textId="3CC24402" w:rsidR="00101FC2" w:rsidRPr="00BB336E" w:rsidRDefault="00101FC2" w:rsidP="00196FAA">
      <w:pPr>
        <w:pStyle w:val="ListParagraph"/>
        <w:numPr>
          <w:ilvl w:val="0"/>
          <w:numId w:val="4"/>
        </w:numPr>
        <w:tabs>
          <w:tab w:val="left" w:pos="3780"/>
          <w:tab w:val="left" w:pos="8460"/>
        </w:tabs>
        <w:spacing w:before="3" w:line="232" w:lineRule="auto"/>
        <w:ind w:left="1080" w:right="10" w:hanging="567"/>
      </w:pPr>
      <w:r w:rsidRPr="00BB336E">
        <w:t>All employees are responsible for complying with the ERM policy and procedures as well as participating in optimizing risk</w:t>
      </w:r>
      <w:r w:rsidR="00BB336E">
        <w:t xml:space="preserve"> strategies </w:t>
      </w:r>
      <w:r w:rsidRPr="00BB336E">
        <w:t>within their departmental areas of</w:t>
      </w:r>
      <w:r w:rsidRPr="00BB336E">
        <w:rPr>
          <w:spacing w:val="-27"/>
        </w:rPr>
        <w:t xml:space="preserve"> </w:t>
      </w:r>
      <w:r w:rsidRPr="00BB336E">
        <w:t>responsibility.</w:t>
      </w:r>
    </w:p>
    <w:p w14:paraId="55D091B9" w14:textId="77777777" w:rsidR="00101FC2" w:rsidRDefault="00101FC2" w:rsidP="00101FC2">
      <w:pPr>
        <w:pStyle w:val="BodyText"/>
        <w:spacing w:before="4"/>
        <w:rPr>
          <w:sz w:val="25"/>
        </w:rPr>
      </w:pPr>
    </w:p>
    <w:p w14:paraId="3D7351F4" w14:textId="3EECC27D" w:rsidR="00101FC2" w:rsidRDefault="00101FC2" w:rsidP="00101FC2">
      <w:pPr>
        <w:pStyle w:val="BodyText"/>
        <w:spacing w:line="268" w:lineRule="exact"/>
        <w:ind w:left="540" w:right="10"/>
      </w:pPr>
      <w:r>
        <w:t xml:space="preserve">This policy, the ERM framework, and the risk appetite statement will evolve and improve by being reviewed </w:t>
      </w:r>
      <w:r w:rsidR="00BB336E">
        <w:t xml:space="preserve">annually </w:t>
      </w:r>
      <w:r>
        <w:t>and amended in response to changing business conditions and industry best practices.</w:t>
      </w:r>
    </w:p>
    <w:p w14:paraId="498795EF" w14:textId="718FBB54" w:rsidR="00196FAA" w:rsidRDefault="00196FAA" w:rsidP="00101FC2">
      <w:pPr>
        <w:pStyle w:val="BodyText"/>
        <w:spacing w:line="268" w:lineRule="exact"/>
        <w:ind w:left="540" w:right="10"/>
      </w:pPr>
    </w:p>
    <w:p w14:paraId="06F7CB31" w14:textId="77777777" w:rsidR="00196FAA" w:rsidRDefault="00196FAA" w:rsidP="00196FAA">
      <w:pPr>
        <w:pStyle w:val="BodyText"/>
        <w:spacing w:line="268" w:lineRule="exact"/>
        <w:ind w:left="540" w:right="10"/>
      </w:pPr>
      <w:r>
        <w:t>Management reports on risk management performance through a formal reporting process as specified in the ERM framework.</w:t>
      </w:r>
    </w:p>
    <w:p w14:paraId="6B3AB9B7" w14:textId="77777777" w:rsidR="00196FAA" w:rsidRDefault="00196FAA" w:rsidP="00196FAA">
      <w:pPr>
        <w:pStyle w:val="BodyText"/>
        <w:spacing w:before="10"/>
        <w:rPr>
          <w:sz w:val="23"/>
        </w:rPr>
      </w:pPr>
    </w:p>
    <w:p w14:paraId="46F3940C" w14:textId="77777777" w:rsidR="00196FAA" w:rsidRDefault="00196FAA" w:rsidP="00196FAA">
      <w:pPr>
        <w:pStyle w:val="Heading1"/>
        <w:spacing w:before="52"/>
        <w:ind w:left="540"/>
      </w:pPr>
      <w:bookmarkStart w:id="5" w:name="DEFINITIONS"/>
      <w:bookmarkEnd w:id="5"/>
      <w:r>
        <w:t>DEFINITIONS</w:t>
      </w:r>
    </w:p>
    <w:p w14:paraId="09835FDD" w14:textId="77777777" w:rsidR="00196FAA" w:rsidRPr="00196FAA" w:rsidRDefault="00196FAA" w:rsidP="00196FAA">
      <w:pPr>
        <w:pStyle w:val="Heading1"/>
        <w:spacing w:before="52"/>
        <w:ind w:left="540"/>
      </w:pPr>
    </w:p>
    <w:p w14:paraId="10014A0D" w14:textId="77777777" w:rsidR="00196FAA" w:rsidRPr="00196FAA" w:rsidRDefault="00196FAA" w:rsidP="00196FAA">
      <w:pPr>
        <w:pStyle w:val="Heading1"/>
        <w:spacing w:before="52"/>
        <w:ind w:left="540"/>
      </w:pPr>
      <w:bookmarkStart w:id="6" w:name="LEGISLATIVE_AND_COLLECTIVE_AGREEMENT_REF"/>
      <w:bookmarkEnd w:id="6"/>
      <w:r>
        <w:t>LEGISLATIVE AND COLLECTIVE AGREEMENT REFERENCES</w:t>
      </w:r>
    </w:p>
    <w:p w14:paraId="1C828102" w14:textId="77777777" w:rsidR="00196FAA" w:rsidRPr="00196FAA" w:rsidRDefault="00196FAA" w:rsidP="00196FAA">
      <w:pPr>
        <w:pStyle w:val="Heading1"/>
        <w:spacing w:before="52"/>
        <w:ind w:left="540"/>
      </w:pPr>
    </w:p>
    <w:p w14:paraId="559BEA9D" w14:textId="77777777" w:rsidR="00196FAA" w:rsidRDefault="00196FAA" w:rsidP="00196FAA">
      <w:pPr>
        <w:pStyle w:val="Heading1"/>
        <w:spacing w:before="52"/>
        <w:ind w:left="540"/>
        <w:rPr>
          <w:b w:val="0"/>
        </w:rPr>
      </w:pPr>
      <w:bookmarkStart w:id="7" w:name="LINKS_TO_OTHER_RELATED_POLICIES,_DOCUMEN"/>
      <w:bookmarkEnd w:id="7"/>
      <w:r>
        <w:t>LINKS TO OTHER RELATED POLICIES, DOCUMENTS, AND WEBSITES.</w:t>
      </w:r>
    </w:p>
    <w:p w14:paraId="59846E69" w14:textId="77777777" w:rsidR="00196FAA" w:rsidRDefault="00196FAA" w:rsidP="00196FAA">
      <w:pPr>
        <w:pStyle w:val="BodyText"/>
        <w:spacing w:before="1"/>
        <w:rPr>
          <w:b/>
        </w:rPr>
      </w:pPr>
    </w:p>
    <w:p w14:paraId="6CED1845" w14:textId="701A064D" w:rsidR="00101FC2" w:rsidRPr="00D26FDF" w:rsidRDefault="00196FAA" w:rsidP="00196FAA">
      <w:pPr>
        <w:pStyle w:val="BodyText"/>
        <w:spacing w:line="268" w:lineRule="exact"/>
        <w:ind w:left="540" w:right="10"/>
      </w:pPr>
      <w:bookmarkStart w:id="8" w:name="ERM_Framework"/>
      <w:bookmarkEnd w:id="8"/>
      <w:r>
        <w:t>ERM Framework</w:t>
      </w:r>
    </w:p>
    <w:sectPr w:rsidR="00101FC2" w:rsidRPr="00D26FDF" w:rsidSect="00793555">
      <w:headerReference w:type="default" r:id="rId9"/>
      <w:footerReference w:type="default" r:id="rId10"/>
      <w:pgSz w:w="12240" w:h="15840"/>
      <w:pgMar w:top="1080" w:right="1120" w:bottom="1170" w:left="580" w:header="255" w:footer="6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79F7D" w14:textId="77777777" w:rsidR="00A06CA0" w:rsidRDefault="00A06CA0">
      <w:r>
        <w:separator/>
      </w:r>
    </w:p>
  </w:endnote>
  <w:endnote w:type="continuationSeparator" w:id="0">
    <w:p w14:paraId="33D46933" w14:textId="77777777" w:rsidR="00A06CA0" w:rsidRDefault="00A0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494763"/>
      <w:docPartObj>
        <w:docPartGallery w:val="Page Numbers (Bottom of Page)"/>
        <w:docPartUnique/>
      </w:docPartObj>
    </w:sdtPr>
    <w:sdtContent>
      <w:sdt>
        <w:sdtPr>
          <w:id w:val="1882126036"/>
          <w:docPartObj>
            <w:docPartGallery w:val="Page Numbers (Top of Page)"/>
            <w:docPartUnique/>
          </w:docPartObj>
        </w:sdtPr>
        <w:sdtContent>
          <w:sdt>
            <w:sdtPr>
              <w:id w:val="-1598948293"/>
              <w:docPartObj>
                <w:docPartGallery w:val="Page Numbers (Top of Page)"/>
                <w:docPartUnique/>
              </w:docPartObj>
            </w:sdtPr>
            <w:sdtContent>
              <w:p w14:paraId="79A8A528" w14:textId="5E37CF4B" w:rsidR="00CE1888" w:rsidRPr="005B37EE" w:rsidRDefault="00CE1888" w:rsidP="00CE1888">
                <w:pPr>
                  <w:pStyle w:val="Footer"/>
                  <w:tabs>
                    <w:tab w:val="clear" w:pos="4680"/>
                    <w:tab w:val="clear" w:pos="9360"/>
                    <w:tab w:val="left" w:pos="540"/>
                    <w:tab w:val="left" w:pos="7110"/>
                    <w:tab w:val="left" w:pos="8460"/>
                  </w:tabs>
                  <w:ind w:left="540" w:right="10"/>
                  <w:rPr>
                    <w:b/>
                    <w:bCs/>
                    <w:sz w:val="24"/>
                    <w:szCs w:val="24"/>
                  </w:rPr>
                </w:pPr>
                <w:r>
                  <w:rPr>
                    <w:bCs/>
                  </w:rPr>
                  <w:t xml:space="preserve">Enterprise Risk Management </w:t>
                </w:r>
                <w:r w:rsidR="005B37EE" w:rsidRPr="00AA10BF">
                  <w:rPr>
                    <w:bCs/>
                  </w:rPr>
                  <w:t xml:space="preserve">            </w:t>
                </w:r>
                <w:r w:rsidR="00E2429E">
                  <w:rPr>
                    <w:bCs/>
                  </w:rPr>
                  <w:tab/>
                </w:r>
                <w:r>
                  <w:rPr>
                    <w:bCs/>
                  </w:rPr>
                  <w:t xml:space="preserve">               </w:t>
                </w:r>
                <w:r w:rsidR="005B37EE" w:rsidRPr="00AA10BF">
                  <w:rPr>
                    <w:bCs/>
                  </w:rPr>
                  <w:t xml:space="preserve">        </w:t>
                </w:r>
                <w:r w:rsidR="00F14B45">
                  <w:rPr>
                    <w:bCs/>
                  </w:rPr>
                  <w:t xml:space="preserve">     </w:t>
                </w:r>
                <w:r w:rsidR="005B37EE" w:rsidRPr="00AA10BF">
                  <w:rPr>
                    <w:bCs/>
                  </w:rPr>
                  <w:t xml:space="preserve">                    </w:t>
                </w:r>
                <w:r>
                  <w:rPr>
                    <w:bCs/>
                  </w:rPr>
                  <w:t>P</w:t>
                </w:r>
                <w:r w:rsidRPr="00AA10BF">
                  <w:t xml:space="preserve">age </w:t>
                </w:r>
                <w:r w:rsidRPr="00AA10BF">
                  <w:rPr>
                    <w:bCs/>
                  </w:rPr>
                  <w:fldChar w:fldCharType="begin"/>
                </w:r>
                <w:r w:rsidRPr="00AA10BF">
                  <w:rPr>
                    <w:bCs/>
                  </w:rPr>
                  <w:instrText xml:space="preserve"> PAGE </w:instrText>
                </w:r>
                <w:r w:rsidRPr="00AA10BF">
                  <w:rPr>
                    <w:bCs/>
                  </w:rPr>
                  <w:fldChar w:fldCharType="separate"/>
                </w:r>
                <w:r>
                  <w:rPr>
                    <w:bCs/>
                  </w:rPr>
                  <w:t>1</w:t>
                </w:r>
                <w:r w:rsidRPr="00AA10BF">
                  <w:rPr>
                    <w:bCs/>
                  </w:rPr>
                  <w:fldChar w:fldCharType="end"/>
                </w:r>
                <w:r w:rsidRPr="00AA10BF">
                  <w:t xml:space="preserve"> of </w:t>
                </w:r>
                <w:r w:rsidRPr="00AA10BF">
                  <w:rPr>
                    <w:bCs/>
                  </w:rPr>
                  <w:fldChar w:fldCharType="begin"/>
                </w:r>
                <w:r w:rsidRPr="00AA10BF">
                  <w:rPr>
                    <w:bCs/>
                  </w:rPr>
                  <w:instrText xml:space="preserve"> NUMPAGES  </w:instrText>
                </w:r>
                <w:r w:rsidRPr="00AA10BF">
                  <w:rPr>
                    <w:bCs/>
                  </w:rPr>
                  <w:fldChar w:fldCharType="separate"/>
                </w:r>
                <w:r>
                  <w:rPr>
                    <w:bCs/>
                  </w:rPr>
                  <w:t>2</w:t>
                </w:r>
                <w:r w:rsidRPr="00AA10BF">
                  <w:rPr>
                    <w:bCs/>
                  </w:rPr>
                  <w:fldChar w:fldCharType="end"/>
                </w:r>
              </w:p>
              <w:p w14:paraId="0F2A5BB8" w14:textId="164F4221" w:rsidR="005B37EE" w:rsidRPr="005B37EE" w:rsidRDefault="00000000" w:rsidP="00CE1888">
                <w:pPr>
                  <w:pStyle w:val="Footer"/>
                  <w:tabs>
                    <w:tab w:val="clear" w:pos="4680"/>
                    <w:tab w:val="clear" w:pos="9360"/>
                    <w:tab w:val="left" w:pos="540"/>
                    <w:tab w:val="left" w:pos="7110"/>
                    <w:tab w:val="left" w:pos="8460"/>
                  </w:tabs>
                  <w:ind w:left="540" w:right="10"/>
                  <w:rPr>
                    <w:b/>
                    <w:bCs/>
                    <w:sz w:val="24"/>
                    <w:szCs w:val="24"/>
                  </w:rPr>
                </w:pPr>
              </w:p>
            </w:sdtContent>
          </w:sdt>
          <w:p w14:paraId="0F90991E" w14:textId="1B9111A1" w:rsidR="0016690F" w:rsidRDefault="00D1788E" w:rsidP="005B37EE">
            <w:pPr>
              <w:pStyle w:val="Footer"/>
            </w:pPr>
            <w:r>
              <w:t xml:space="preserve"> </w:t>
            </w:r>
          </w:p>
        </w:sdtContent>
      </w:sdt>
    </w:sdtContent>
  </w:sdt>
  <w:p w14:paraId="6D86EA02" w14:textId="304FA904" w:rsidR="006A4EB6" w:rsidRDefault="006A4EB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DA95B" w14:textId="77777777" w:rsidR="00A06CA0" w:rsidRDefault="00A06CA0">
      <w:r>
        <w:separator/>
      </w:r>
    </w:p>
  </w:footnote>
  <w:footnote w:type="continuationSeparator" w:id="0">
    <w:p w14:paraId="5121D13C" w14:textId="77777777" w:rsidR="00A06CA0" w:rsidRDefault="00A06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2F19" w14:textId="0ECFCDB8" w:rsidR="006A4EB6" w:rsidRDefault="006A4EB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E596D"/>
    <w:multiLevelType w:val="hybridMultilevel"/>
    <w:tmpl w:val="085C2F40"/>
    <w:lvl w:ilvl="0" w:tplc="2E502BFC">
      <w:start w:val="1"/>
      <w:numFmt w:val="decimal"/>
      <w:lvlText w:val="%1."/>
      <w:lvlJc w:val="left"/>
      <w:pPr>
        <w:ind w:left="1460" w:hanging="361"/>
        <w:jc w:val="left"/>
      </w:pPr>
      <w:rPr>
        <w:rFonts w:ascii="Calibri" w:eastAsia="Calibri" w:hAnsi="Calibri" w:cs="Calibri" w:hint="default"/>
        <w:w w:val="100"/>
        <w:sz w:val="22"/>
        <w:szCs w:val="22"/>
      </w:rPr>
    </w:lvl>
    <w:lvl w:ilvl="1" w:tplc="DDDE4972">
      <w:numFmt w:val="bullet"/>
      <w:lvlText w:val="•"/>
      <w:lvlJc w:val="left"/>
      <w:pPr>
        <w:ind w:left="2180" w:hanging="361"/>
      </w:pPr>
      <w:rPr>
        <w:rFonts w:ascii="Arial" w:eastAsia="Arial" w:hAnsi="Arial" w:cs="Arial" w:hint="default"/>
        <w:w w:val="131"/>
        <w:sz w:val="22"/>
        <w:szCs w:val="22"/>
      </w:rPr>
    </w:lvl>
    <w:lvl w:ilvl="2" w:tplc="F9B08612">
      <w:numFmt w:val="bullet"/>
      <w:lvlText w:val="•"/>
      <w:lvlJc w:val="left"/>
      <w:pPr>
        <w:ind w:left="3171" w:hanging="361"/>
      </w:pPr>
      <w:rPr>
        <w:rFonts w:hint="default"/>
      </w:rPr>
    </w:lvl>
    <w:lvl w:ilvl="3" w:tplc="D7D4A006">
      <w:numFmt w:val="bullet"/>
      <w:lvlText w:val="•"/>
      <w:lvlJc w:val="left"/>
      <w:pPr>
        <w:ind w:left="4162" w:hanging="361"/>
      </w:pPr>
      <w:rPr>
        <w:rFonts w:hint="default"/>
      </w:rPr>
    </w:lvl>
    <w:lvl w:ilvl="4" w:tplc="A0707C12">
      <w:numFmt w:val="bullet"/>
      <w:lvlText w:val="•"/>
      <w:lvlJc w:val="left"/>
      <w:pPr>
        <w:ind w:left="5153" w:hanging="361"/>
      </w:pPr>
      <w:rPr>
        <w:rFonts w:hint="default"/>
      </w:rPr>
    </w:lvl>
    <w:lvl w:ilvl="5" w:tplc="54E08052">
      <w:numFmt w:val="bullet"/>
      <w:lvlText w:val="•"/>
      <w:lvlJc w:val="left"/>
      <w:pPr>
        <w:ind w:left="6144" w:hanging="361"/>
      </w:pPr>
      <w:rPr>
        <w:rFonts w:hint="default"/>
      </w:rPr>
    </w:lvl>
    <w:lvl w:ilvl="6" w:tplc="6882C632">
      <w:numFmt w:val="bullet"/>
      <w:lvlText w:val="•"/>
      <w:lvlJc w:val="left"/>
      <w:pPr>
        <w:ind w:left="7135" w:hanging="361"/>
      </w:pPr>
      <w:rPr>
        <w:rFonts w:hint="default"/>
      </w:rPr>
    </w:lvl>
    <w:lvl w:ilvl="7" w:tplc="1B807BEA">
      <w:numFmt w:val="bullet"/>
      <w:lvlText w:val="•"/>
      <w:lvlJc w:val="left"/>
      <w:pPr>
        <w:ind w:left="8126" w:hanging="361"/>
      </w:pPr>
      <w:rPr>
        <w:rFonts w:hint="default"/>
      </w:rPr>
    </w:lvl>
    <w:lvl w:ilvl="8" w:tplc="554CA3AA">
      <w:numFmt w:val="bullet"/>
      <w:lvlText w:val="•"/>
      <w:lvlJc w:val="left"/>
      <w:pPr>
        <w:ind w:left="9117" w:hanging="361"/>
      </w:pPr>
      <w:rPr>
        <w:rFonts w:hint="default"/>
      </w:rPr>
    </w:lvl>
  </w:abstractNum>
  <w:abstractNum w:abstractNumId="1" w15:restartNumberingAfterBreak="0">
    <w:nsid w:val="646E21D2"/>
    <w:multiLevelType w:val="hybridMultilevel"/>
    <w:tmpl w:val="4A4A7AAA"/>
    <w:lvl w:ilvl="0" w:tplc="32868BE8">
      <w:numFmt w:val="bullet"/>
      <w:lvlText w:val="•"/>
      <w:lvlJc w:val="left"/>
      <w:pPr>
        <w:ind w:left="1580" w:hanging="361"/>
      </w:pPr>
      <w:rPr>
        <w:rFonts w:ascii="Arial" w:eastAsia="Arial" w:hAnsi="Arial" w:cs="Arial" w:hint="default"/>
        <w:w w:val="131"/>
        <w:sz w:val="22"/>
        <w:szCs w:val="22"/>
      </w:rPr>
    </w:lvl>
    <w:lvl w:ilvl="1" w:tplc="C58AD18E">
      <w:numFmt w:val="bullet"/>
      <w:lvlText w:val="•"/>
      <w:lvlJc w:val="left"/>
      <w:pPr>
        <w:ind w:left="2476" w:hanging="361"/>
      </w:pPr>
      <w:rPr>
        <w:rFonts w:hint="default"/>
      </w:rPr>
    </w:lvl>
    <w:lvl w:ilvl="2" w:tplc="D6C00DE0">
      <w:numFmt w:val="bullet"/>
      <w:lvlText w:val="•"/>
      <w:lvlJc w:val="left"/>
      <w:pPr>
        <w:ind w:left="3372" w:hanging="361"/>
      </w:pPr>
      <w:rPr>
        <w:rFonts w:hint="default"/>
      </w:rPr>
    </w:lvl>
    <w:lvl w:ilvl="3" w:tplc="9DAAE8F2">
      <w:numFmt w:val="bullet"/>
      <w:lvlText w:val="•"/>
      <w:lvlJc w:val="left"/>
      <w:pPr>
        <w:ind w:left="4268" w:hanging="361"/>
      </w:pPr>
      <w:rPr>
        <w:rFonts w:hint="default"/>
      </w:rPr>
    </w:lvl>
    <w:lvl w:ilvl="4" w:tplc="3238E7EE">
      <w:numFmt w:val="bullet"/>
      <w:lvlText w:val="•"/>
      <w:lvlJc w:val="left"/>
      <w:pPr>
        <w:ind w:left="5164" w:hanging="361"/>
      </w:pPr>
      <w:rPr>
        <w:rFonts w:hint="default"/>
      </w:rPr>
    </w:lvl>
    <w:lvl w:ilvl="5" w:tplc="1DA82926">
      <w:numFmt w:val="bullet"/>
      <w:lvlText w:val="•"/>
      <w:lvlJc w:val="left"/>
      <w:pPr>
        <w:ind w:left="6060" w:hanging="361"/>
      </w:pPr>
      <w:rPr>
        <w:rFonts w:hint="default"/>
      </w:rPr>
    </w:lvl>
    <w:lvl w:ilvl="6" w:tplc="FB78D6FA">
      <w:numFmt w:val="bullet"/>
      <w:lvlText w:val="•"/>
      <w:lvlJc w:val="left"/>
      <w:pPr>
        <w:ind w:left="6956" w:hanging="361"/>
      </w:pPr>
      <w:rPr>
        <w:rFonts w:hint="default"/>
      </w:rPr>
    </w:lvl>
    <w:lvl w:ilvl="7" w:tplc="E91C5690">
      <w:numFmt w:val="bullet"/>
      <w:lvlText w:val="•"/>
      <w:lvlJc w:val="left"/>
      <w:pPr>
        <w:ind w:left="7852" w:hanging="361"/>
      </w:pPr>
      <w:rPr>
        <w:rFonts w:hint="default"/>
      </w:rPr>
    </w:lvl>
    <w:lvl w:ilvl="8" w:tplc="506003AC">
      <w:numFmt w:val="bullet"/>
      <w:lvlText w:val="•"/>
      <w:lvlJc w:val="left"/>
      <w:pPr>
        <w:ind w:left="8748" w:hanging="361"/>
      </w:pPr>
      <w:rPr>
        <w:rFonts w:hint="default"/>
      </w:rPr>
    </w:lvl>
  </w:abstractNum>
  <w:abstractNum w:abstractNumId="2" w15:restartNumberingAfterBreak="0">
    <w:nsid w:val="6A906A30"/>
    <w:multiLevelType w:val="hybridMultilevel"/>
    <w:tmpl w:val="1040E770"/>
    <w:lvl w:ilvl="0" w:tplc="5DA63716">
      <w:numFmt w:val="bullet"/>
      <w:lvlText w:val="•"/>
      <w:lvlJc w:val="left"/>
      <w:pPr>
        <w:ind w:left="828" w:hanging="579"/>
      </w:pPr>
      <w:rPr>
        <w:rFonts w:ascii="Arial" w:eastAsia="Arial" w:hAnsi="Arial" w:cs="Arial" w:hint="default"/>
        <w:w w:val="131"/>
        <w:sz w:val="24"/>
        <w:szCs w:val="24"/>
      </w:rPr>
    </w:lvl>
    <w:lvl w:ilvl="1" w:tplc="A3D25080">
      <w:numFmt w:val="bullet"/>
      <w:lvlText w:val="•"/>
      <w:lvlJc w:val="left"/>
      <w:pPr>
        <w:ind w:left="1770" w:hanging="579"/>
      </w:pPr>
      <w:rPr>
        <w:rFonts w:hint="default"/>
      </w:rPr>
    </w:lvl>
    <w:lvl w:ilvl="2" w:tplc="A04ADED8">
      <w:numFmt w:val="bullet"/>
      <w:lvlText w:val="•"/>
      <w:lvlJc w:val="left"/>
      <w:pPr>
        <w:ind w:left="2720" w:hanging="579"/>
      </w:pPr>
      <w:rPr>
        <w:rFonts w:hint="default"/>
      </w:rPr>
    </w:lvl>
    <w:lvl w:ilvl="3" w:tplc="939C46F8">
      <w:numFmt w:val="bullet"/>
      <w:lvlText w:val="•"/>
      <w:lvlJc w:val="left"/>
      <w:pPr>
        <w:ind w:left="3670" w:hanging="579"/>
      </w:pPr>
      <w:rPr>
        <w:rFonts w:hint="default"/>
      </w:rPr>
    </w:lvl>
    <w:lvl w:ilvl="4" w:tplc="EEA84EB2">
      <w:numFmt w:val="bullet"/>
      <w:lvlText w:val="•"/>
      <w:lvlJc w:val="left"/>
      <w:pPr>
        <w:ind w:left="4620" w:hanging="579"/>
      </w:pPr>
      <w:rPr>
        <w:rFonts w:hint="default"/>
      </w:rPr>
    </w:lvl>
    <w:lvl w:ilvl="5" w:tplc="6576E8D4">
      <w:numFmt w:val="bullet"/>
      <w:lvlText w:val="•"/>
      <w:lvlJc w:val="left"/>
      <w:pPr>
        <w:ind w:left="5570" w:hanging="579"/>
      </w:pPr>
      <w:rPr>
        <w:rFonts w:hint="default"/>
      </w:rPr>
    </w:lvl>
    <w:lvl w:ilvl="6" w:tplc="95F0ABC2">
      <w:numFmt w:val="bullet"/>
      <w:lvlText w:val="•"/>
      <w:lvlJc w:val="left"/>
      <w:pPr>
        <w:ind w:left="6520" w:hanging="579"/>
      </w:pPr>
      <w:rPr>
        <w:rFonts w:hint="default"/>
      </w:rPr>
    </w:lvl>
    <w:lvl w:ilvl="7" w:tplc="9FE499EC">
      <w:numFmt w:val="bullet"/>
      <w:lvlText w:val="•"/>
      <w:lvlJc w:val="left"/>
      <w:pPr>
        <w:ind w:left="7470" w:hanging="579"/>
      </w:pPr>
      <w:rPr>
        <w:rFonts w:hint="default"/>
      </w:rPr>
    </w:lvl>
    <w:lvl w:ilvl="8" w:tplc="57942D36">
      <w:numFmt w:val="bullet"/>
      <w:lvlText w:val="•"/>
      <w:lvlJc w:val="left"/>
      <w:pPr>
        <w:ind w:left="8420" w:hanging="579"/>
      </w:pPr>
      <w:rPr>
        <w:rFonts w:hint="default"/>
      </w:rPr>
    </w:lvl>
  </w:abstractNum>
  <w:abstractNum w:abstractNumId="3" w15:restartNumberingAfterBreak="0">
    <w:nsid w:val="781D4C03"/>
    <w:multiLevelType w:val="multilevel"/>
    <w:tmpl w:val="F5DEEC9C"/>
    <w:lvl w:ilvl="0">
      <w:start w:val="1"/>
      <w:numFmt w:val="decimal"/>
      <w:lvlText w:val="%1."/>
      <w:lvlJc w:val="left"/>
      <w:pPr>
        <w:ind w:left="1243" w:hanging="361"/>
      </w:pPr>
      <w:rPr>
        <w:rFonts w:ascii="Calibri" w:eastAsia="Calibri" w:hAnsi="Calibri" w:cs="Calibri" w:hint="default"/>
        <w:b/>
        <w:bCs/>
        <w:w w:val="100"/>
        <w:sz w:val="22"/>
        <w:szCs w:val="22"/>
      </w:rPr>
    </w:lvl>
    <w:lvl w:ilvl="1">
      <w:start w:val="1"/>
      <w:numFmt w:val="decimal"/>
      <w:lvlText w:val="%1.%2"/>
      <w:lvlJc w:val="left"/>
      <w:pPr>
        <w:ind w:left="1603" w:hanging="361"/>
      </w:pPr>
      <w:rPr>
        <w:rFonts w:ascii="Calibri" w:eastAsia="Calibri" w:hAnsi="Calibri" w:cs="Calibri" w:hint="default"/>
        <w:spacing w:val="-1"/>
        <w:w w:val="100"/>
        <w:sz w:val="22"/>
        <w:szCs w:val="22"/>
      </w:rPr>
    </w:lvl>
    <w:lvl w:ilvl="2">
      <w:numFmt w:val="bullet"/>
      <w:lvlText w:val="•"/>
      <w:lvlJc w:val="left"/>
      <w:pPr>
        <w:ind w:left="1895" w:hanging="296"/>
      </w:pPr>
      <w:rPr>
        <w:rFonts w:ascii="Arial" w:eastAsia="Arial" w:hAnsi="Arial" w:cs="Arial" w:hint="default"/>
        <w:w w:val="131"/>
        <w:sz w:val="22"/>
        <w:szCs w:val="22"/>
      </w:rPr>
    </w:lvl>
    <w:lvl w:ilvl="3">
      <w:numFmt w:val="bullet"/>
      <w:lvlText w:val="•"/>
      <w:lvlJc w:val="left"/>
      <w:pPr>
        <w:ind w:left="2000" w:hanging="296"/>
      </w:pPr>
      <w:rPr>
        <w:rFonts w:hint="default"/>
      </w:rPr>
    </w:lvl>
    <w:lvl w:ilvl="4">
      <w:numFmt w:val="bullet"/>
      <w:lvlText w:val="•"/>
      <w:lvlJc w:val="left"/>
      <w:pPr>
        <w:ind w:left="2320" w:hanging="296"/>
      </w:pPr>
      <w:rPr>
        <w:rFonts w:hint="default"/>
      </w:rPr>
    </w:lvl>
    <w:lvl w:ilvl="5">
      <w:numFmt w:val="bullet"/>
      <w:lvlText w:val="•"/>
      <w:lvlJc w:val="left"/>
      <w:pPr>
        <w:ind w:left="3686" w:hanging="296"/>
      </w:pPr>
      <w:rPr>
        <w:rFonts w:hint="default"/>
      </w:rPr>
    </w:lvl>
    <w:lvl w:ilvl="6">
      <w:numFmt w:val="bullet"/>
      <w:lvlText w:val="•"/>
      <w:lvlJc w:val="left"/>
      <w:pPr>
        <w:ind w:left="5053" w:hanging="296"/>
      </w:pPr>
      <w:rPr>
        <w:rFonts w:hint="default"/>
      </w:rPr>
    </w:lvl>
    <w:lvl w:ilvl="7">
      <w:numFmt w:val="bullet"/>
      <w:lvlText w:val="•"/>
      <w:lvlJc w:val="left"/>
      <w:pPr>
        <w:ind w:left="6420" w:hanging="296"/>
      </w:pPr>
      <w:rPr>
        <w:rFonts w:hint="default"/>
      </w:rPr>
    </w:lvl>
    <w:lvl w:ilvl="8">
      <w:numFmt w:val="bullet"/>
      <w:lvlText w:val="•"/>
      <w:lvlJc w:val="left"/>
      <w:pPr>
        <w:ind w:left="7786" w:hanging="296"/>
      </w:pPr>
      <w:rPr>
        <w:rFonts w:hint="default"/>
      </w:rPr>
    </w:lvl>
  </w:abstractNum>
  <w:num w:numId="1" w16cid:durableId="1288321187">
    <w:abstractNumId w:val="1"/>
  </w:num>
  <w:num w:numId="2" w16cid:durableId="174002809">
    <w:abstractNumId w:val="3"/>
  </w:num>
  <w:num w:numId="3" w16cid:durableId="2091929515">
    <w:abstractNumId w:val="0"/>
  </w:num>
  <w:num w:numId="4" w16cid:durableId="1750344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B6"/>
    <w:rsid w:val="000101D7"/>
    <w:rsid w:val="000823A4"/>
    <w:rsid w:val="0009471C"/>
    <w:rsid w:val="00101FC2"/>
    <w:rsid w:val="0012081C"/>
    <w:rsid w:val="00120AFD"/>
    <w:rsid w:val="00161196"/>
    <w:rsid w:val="0016690F"/>
    <w:rsid w:val="00196FAA"/>
    <w:rsid w:val="001B1C3B"/>
    <w:rsid w:val="001D7FE0"/>
    <w:rsid w:val="00212AA3"/>
    <w:rsid w:val="002B3129"/>
    <w:rsid w:val="003854FF"/>
    <w:rsid w:val="003F136B"/>
    <w:rsid w:val="004B7C19"/>
    <w:rsid w:val="004C4067"/>
    <w:rsid w:val="004E1F30"/>
    <w:rsid w:val="004E3814"/>
    <w:rsid w:val="005326F2"/>
    <w:rsid w:val="005524FE"/>
    <w:rsid w:val="005A7065"/>
    <w:rsid w:val="005B37EE"/>
    <w:rsid w:val="005C1614"/>
    <w:rsid w:val="005D0A1A"/>
    <w:rsid w:val="00647E15"/>
    <w:rsid w:val="006813B8"/>
    <w:rsid w:val="006A4EB6"/>
    <w:rsid w:val="006E70DD"/>
    <w:rsid w:val="00726F39"/>
    <w:rsid w:val="00746F17"/>
    <w:rsid w:val="00793555"/>
    <w:rsid w:val="007B1F9B"/>
    <w:rsid w:val="00846A35"/>
    <w:rsid w:val="00872F1D"/>
    <w:rsid w:val="008D3F8F"/>
    <w:rsid w:val="0092319A"/>
    <w:rsid w:val="00950167"/>
    <w:rsid w:val="009F0EE7"/>
    <w:rsid w:val="00A06CA0"/>
    <w:rsid w:val="00A108CF"/>
    <w:rsid w:val="00A7411C"/>
    <w:rsid w:val="00AA10BF"/>
    <w:rsid w:val="00AB5257"/>
    <w:rsid w:val="00AE621D"/>
    <w:rsid w:val="00B25ACF"/>
    <w:rsid w:val="00B36D11"/>
    <w:rsid w:val="00B8466D"/>
    <w:rsid w:val="00B90A4D"/>
    <w:rsid w:val="00BA1022"/>
    <w:rsid w:val="00BB336E"/>
    <w:rsid w:val="00BC741F"/>
    <w:rsid w:val="00C8225C"/>
    <w:rsid w:val="00C83CFC"/>
    <w:rsid w:val="00C95958"/>
    <w:rsid w:val="00CE1888"/>
    <w:rsid w:val="00CF00C9"/>
    <w:rsid w:val="00D1788E"/>
    <w:rsid w:val="00D26FDF"/>
    <w:rsid w:val="00D31780"/>
    <w:rsid w:val="00D75EC5"/>
    <w:rsid w:val="00D82D8C"/>
    <w:rsid w:val="00D86E0E"/>
    <w:rsid w:val="00DC258B"/>
    <w:rsid w:val="00E06ACF"/>
    <w:rsid w:val="00E15545"/>
    <w:rsid w:val="00E2429E"/>
    <w:rsid w:val="00E63445"/>
    <w:rsid w:val="00E85386"/>
    <w:rsid w:val="00F14B45"/>
    <w:rsid w:val="00F71E40"/>
    <w:rsid w:val="00F80756"/>
    <w:rsid w:val="00FC3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BD5C6"/>
  <w15:docId w15:val="{C8E0CF68-B312-FF48-9AB5-5D1ADDBD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840"/>
      <w:outlineLvl w:val="0"/>
    </w:pPr>
    <w:rPr>
      <w:b/>
      <w:bCs/>
      <w:sz w:val="24"/>
      <w:szCs w:val="24"/>
    </w:rPr>
  </w:style>
  <w:style w:type="paragraph" w:styleId="Heading2">
    <w:name w:val="heading 2"/>
    <w:basedOn w:val="Normal"/>
    <w:uiPriority w:val="9"/>
    <w:unhideWhenUsed/>
    <w:qFormat/>
    <w:pPr>
      <w:spacing w:before="120"/>
      <w:ind w:left="1243"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1895" w:hanging="360"/>
    </w:pPr>
  </w:style>
  <w:style w:type="paragraph" w:customStyle="1" w:styleId="TableParagraph">
    <w:name w:val="Table Paragraph"/>
    <w:basedOn w:val="Normal"/>
    <w:uiPriority w:val="1"/>
    <w:qFormat/>
    <w:pPr>
      <w:ind w:left="93"/>
    </w:pPr>
  </w:style>
  <w:style w:type="paragraph" w:styleId="Revision">
    <w:name w:val="Revision"/>
    <w:hidden/>
    <w:uiPriority w:val="99"/>
    <w:semiHidden/>
    <w:rsid w:val="009F0EE7"/>
    <w:pPr>
      <w:widowControl/>
      <w:autoSpaceDE/>
      <w:autoSpaceDN/>
    </w:pPr>
    <w:rPr>
      <w:rFonts w:ascii="Calibri" w:eastAsia="Calibri" w:hAnsi="Calibri" w:cs="Calibri"/>
    </w:rPr>
  </w:style>
  <w:style w:type="paragraph" w:styleId="Header">
    <w:name w:val="header"/>
    <w:basedOn w:val="Normal"/>
    <w:link w:val="HeaderChar"/>
    <w:uiPriority w:val="99"/>
    <w:unhideWhenUsed/>
    <w:rsid w:val="0009471C"/>
    <w:pPr>
      <w:tabs>
        <w:tab w:val="center" w:pos="4680"/>
        <w:tab w:val="right" w:pos="9360"/>
      </w:tabs>
    </w:pPr>
  </w:style>
  <w:style w:type="character" w:customStyle="1" w:styleId="HeaderChar">
    <w:name w:val="Header Char"/>
    <w:basedOn w:val="DefaultParagraphFont"/>
    <w:link w:val="Header"/>
    <w:uiPriority w:val="99"/>
    <w:rsid w:val="0009471C"/>
    <w:rPr>
      <w:rFonts w:ascii="Calibri" w:eastAsia="Calibri" w:hAnsi="Calibri" w:cs="Calibri"/>
    </w:rPr>
  </w:style>
  <w:style w:type="paragraph" w:styleId="Footer">
    <w:name w:val="footer"/>
    <w:basedOn w:val="Normal"/>
    <w:link w:val="FooterChar"/>
    <w:uiPriority w:val="99"/>
    <w:unhideWhenUsed/>
    <w:rsid w:val="0009471C"/>
    <w:pPr>
      <w:tabs>
        <w:tab w:val="center" w:pos="4680"/>
        <w:tab w:val="right" w:pos="9360"/>
      </w:tabs>
    </w:pPr>
  </w:style>
  <w:style w:type="character" w:customStyle="1" w:styleId="FooterChar">
    <w:name w:val="Footer Char"/>
    <w:basedOn w:val="DefaultParagraphFont"/>
    <w:link w:val="Footer"/>
    <w:uiPriority w:val="99"/>
    <w:rsid w:val="0009471C"/>
    <w:rPr>
      <w:rFonts w:ascii="Calibri" w:eastAsia="Calibri" w:hAnsi="Calibri" w:cs="Calibri"/>
    </w:rPr>
  </w:style>
  <w:style w:type="paragraph" w:styleId="BalloonText">
    <w:name w:val="Balloon Text"/>
    <w:basedOn w:val="Normal"/>
    <w:link w:val="BalloonTextChar"/>
    <w:uiPriority w:val="99"/>
    <w:semiHidden/>
    <w:unhideWhenUsed/>
    <w:rsid w:val="004B7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C1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09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3.png@01D9B3E0.5A34DB8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F5F4F7AE20BF4A869C7F0C58EB51EC" ma:contentTypeVersion="4" ma:contentTypeDescription="Create a new document." ma:contentTypeScope="" ma:versionID="c0c9d07a3a93696c57822b2621bead23">
  <xsd:schema xmlns:xsd="http://www.w3.org/2001/XMLSchema" xmlns:xs="http://www.w3.org/2001/XMLSchema" xmlns:p="http://schemas.microsoft.com/office/2006/metadata/properties" xmlns:ns2="6d76c01b-8025-4e4e-bede-4e2570004dbe" targetNamespace="http://schemas.microsoft.com/office/2006/metadata/properties" ma:root="true" ma:fieldsID="a4e04d7993be0efed5a05d1f7cd823d4" ns2:_="">
    <xsd:import namespace="6d76c01b-8025-4e4e-bede-4e2570004d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6c01b-8025-4e4e-bede-4e2570004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A1059-6F70-4181-AD88-CCFC18E2EAA5}"/>
</file>

<file path=customXml/itemProps2.xml><?xml version="1.0" encoding="utf-8"?>
<ds:datastoreItem xmlns:ds="http://schemas.openxmlformats.org/officeDocument/2006/customXml" ds:itemID="{4A0A695B-B761-4986-8FCA-E4B2AA96AF55}"/>
</file>

<file path=customXml/itemProps3.xml><?xml version="1.0" encoding="utf-8"?>
<ds:datastoreItem xmlns:ds="http://schemas.openxmlformats.org/officeDocument/2006/customXml" ds:itemID="{313A25EB-3E1E-4971-9344-657C6AABC5B4}"/>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Youzwa</dc:creator>
  <cp:lastModifiedBy>Sherry</cp:lastModifiedBy>
  <cp:revision>2</cp:revision>
  <cp:lastPrinted>2023-07-11T20:43:00Z</cp:lastPrinted>
  <dcterms:created xsi:type="dcterms:W3CDTF">2024-11-25T16:06:00Z</dcterms:created>
  <dcterms:modified xsi:type="dcterms:W3CDTF">2024-11-25T16:06:00Z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Acrobat PDFMaker 15 for Word</vt:lpwstr>
  </property>
  <property fmtid="{D5CDD505-2E9C-101B-9397-08002B2CF9AE}" pid="4" name="LastSaved">
    <vt:filetime>2023-03-19T00:00:00Z</vt:filetime>
  </property>
  <property fmtid="{D5CDD505-2E9C-101B-9397-08002B2CF9AE}" pid="5" name="ContentTypeId">
    <vt:lpwstr>0x01010088F5F4F7AE20BF4A869C7F0C58EB51EC</vt:lpwstr>
  </property>
</Properties>
</file>